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1F59" w14:textId="56A643DA" w:rsidR="003437FD" w:rsidRPr="0007751D" w:rsidRDefault="0007751D" w:rsidP="0007751D">
      <w:pPr>
        <w:jc w:val="center"/>
        <w:rPr>
          <w:rFonts w:ascii="Helvetica" w:hAnsi="Helvetica" w:cs="Helvetica"/>
          <w:b/>
          <w:bCs/>
          <w:lang w:val="es-MX"/>
        </w:rPr>
      </w:pPr>
      <w:r w:rsidRPr="0007751D">
        <w:rPr>
          <w:rFonts w:ascii="Helvetica" w:hAnsi="Helvetica" w:cs="Helvetica"/>
          <w:b/>
          <w:bCs/>
          <w:lang w:val="es-MX"/>
        </w:rPr>
        <w:t>CÓDIGO DE CONDUCTA CONTRA LA EXPLOTACIÓN SEXUAL DE NIÑAS, NIÑOS Y ADOLESCENTES (ESNNA) EN EL ÁMBITO DEL TURISMO, PARA PRESTADORES DE SERVICIOS TURÍSTICOS.</w:t>
      </w:r>
    </w:p>
    <w:p w14:paraId="3DB50FC1" w14:textId="77777777" w:rsidR="0007751D" w:rsidRDefault="0007751D" w:rsidP="0007751D">
      <w:pPr>
        <w:rPr>
          <w:rFonts w:ascii="Helvetica" w:hAnsi="Helvetica" w:cs="Helvetica"/>
          <w:b/>
          <w:bCs/>
          <w:lang w:val="es-MX"/>
        </w:rPr>
      </w:pPr>
    </w:p>
    <w:p w14:paraId="02C146A6" w14:textId="76588A0D" w:rsidR="0007751D" w:rsidRDefault="0007751D" w:rsidP="0007751D">
      <w:pPr>
        <w:rPr>
          <w:rFonts w:ascii="Helvetica" w:hAnsi="Helvetica" w:cs="Helvetica"/>
          <w:b/>
          <w:bCs/>
          <w:lang w:val="es-MX"/>
        </w:rPr>
      </w:pPr>
      <w:r w:rsidRPr="0007751D">
        <w:rPr>
          <w:rFonts w:ascii="Helvetica" w:hAnsi="Helvetica" w:cs="Helvetica"/>
          <w:b/>
          <w:bCs/>
          <w:lang w:val="es-MX"/>
        </w:rPr>
        <w:t>PREAMBULO</w:t>
      </w:r>
    </w:p>
    <w:p w14:paraId="65F45334" w14:textId="2DB014D9" w:rsidR="0007751D" w:rsidRDefault="0007751D" w:rsidP="0007751D">
      <w:pPr>
        <w:jc w:val="both"/>
        <w:rPr>
          <w:rFonts w:ascii="Helvetica" w:hAnsi="Helvetica" w:cs="Helvetica"/>
          <w:lang w:val="es-MX"/>
        </w:rPr>
      </w:pPr>
      <w:r>
        <w:rPr>
          <w:rFonts w:ascii="Helvetica" w:hAnsi="Helvetica" w:cs="Helvetica"/>
          <w:lang w:val="es-MX"/>
        </w:rPr>
        <w:t>El Ministerio de Comercio Exterior y Turismo (MINCETUR) es el organismo rector de la actividad turística, encargado de promoverla, orientarla y regularla, con el fin de impulsar su desarrollo sostenible.</w:t>
      </w:r>
    </w:p>
    <w:p w14:paraId="6B9BA6EE" w14:textId="77ECE511" w:rsidR="0007751D" w:rsidRDefault="0007751D" w:rsidP="0007751D">
      <w:pPr>
        <w:jc w:val="both"/>
        <w:rPr>
          <w:rFonts w:ascii="Helvetica" w:hAnsi="Helvetica" w:cs="Helvetica"/>
          <w:lang w:val="es-MX"/>
        </w:rPr>
      </w:pPr>
      <w:r>
        <w:rPr>
          <w:rFonts w:ascii="Helvetica" w:hAnsi="Helvetica" w:cs="Helvetica"/>
          <w:lang w:val="es-MX"/>
        </w:rPr>
        <w:t>La Ley No. 29408, Ley General de Turismo establece en su artículo 3 los principios d e la actividad turística que deben ser aplicados por las entidades de la administración pública y los prestadores de servicios turísticos.</w:t>
      </w:r>
    </w:p>
    <w:p w14:paraId="25106137" w14:textId="5A28F76C" w:rsidR="0007751D" w:rsidRDefault="0007751D" w:rsidP="0007751D">
      <w:pPr>
        <w:jc w:val="both"/>
        <w:rPr>
          <w:rFonts w:ascii="Helvetica" w:hAnsi="Helvetica" w:cs="Helvetica"/>
          <w:lang w:val="es-MX"/>
        </w:rPr>
      </w:pPr>
      <w:r>
        <w:rPr>
          <w:rFonts w:ascii="Helvetica" w:hAnsi="Helvetica" w:cs="Helvetica"/>
          <w:lang w:val="es-MX"/>
        </w:rPr>
        <w:t>Conforme a lo establecido en el artículo 44 de la citada Ley, el MINCETUR tiene competencia para coordinar, formular y proponer la expedición de normas que se requieran para prevenir y combatir la Explotación Sexual Comercial de Niños, Niñas y Adolescentes (ESNNA) en el ámbito del turismo. Asimismo, elabora y ejecuta, en coordinación con el Ministerio de la Mujer y Poblaciones Vulnerables y los sectores involucrados, los programas y proyectos de alance nacional vinculados a esta problemática.</w:t>
      </w:r>
    </w:p>
    <w:p w14:paraId="2FBFC6FA" w14:textId="77777777" w:rsidR="0007751D" w:rsidRDefault="0007751D" w:rsidP="0007751D">
      <w:pPr>
        <w:jc w:val="both"/>
        <w:rPr>
          <w:rFonts w:ascii="Helvetica" w:hAnsi="Helvetica" w:cs="Helvetica"/>
          <w:lang w:val="es-MX"/>
        </w:rPr>
      </w:pPr>
      <w:r>
        <w:rPr>
          <w:rFonts w:ascii="Helvetica" w:hAnsi="Helvetica" w:cs="Helvetica"/>
          <w:lang w:val="es-MX"/>
        </w:rPr>
        <w:t>El mismo artículo señala que los gobiernos regionales y locales tienen la obligación de adoptar medidas de prevención de la ESNNA en el ámbito del turismo, en sus respectivas circunscripciones territoriales.</w:t>
      </w:r>
    </w:p>
    <w:p w14:paraId="75C898AB" w14:textId="77777777" w:rsidR="0007751D" w:rsidRDefault="0007751D" w:rsidP="0007751D">
      <w:pPr>
        <w:jc w:val="both"/>
        <w:rPr>
          <w:rFonts w:ascii="Helvetica" w:hAnsi="Helvetica" w:cs="Helvetica"/>
          <w:lang w:val="es-MX"/>
        </w:rPr>
      </w:pPr>
      <w:r>
        <w:rPr>
          <w:rFonts w:ascii="Helvetica" w:hAnsi="Helvetica" w:cs="Helvetica"/>
          <w:lang w:val="es-MX"/>
        </w:rPr>
        <w:t>EN ese marco, el artículo 41 del Reglamento de la Ley General de Turismo, aprobado mediante Decreto Supremo No. 003-2010-MINCETUR; establece que, dentro de las acciones que pueden adoptar los gobiernos regionales para la prevención de la ESNNA, se encentra la suscripción de compromisos o códigos de conducta por parte de los prestadores de servicios turísticos y otros actores vinculados con el turismo.</w:t>
      </w:r>
    </w:p>
    <w:p w14:paraId="0051E278" w14:textId="77777777" w:rsidR="0007751D" w:rsidRDefault="0007751D" w:rsidP="0007751D">
      <w:pPr>
        <w:jc w:val="both"/>
        <w:rPr>
          <w:rFonts w:ascii="Helvetica" w:hAnsi="Helvetica" w:cs="Helvetica"/>
          <w:lang w:val="es-MX"/>
        </w:rPr>
      </w:pPr>
      <w:r>
        <w:rPr>
          <w:rFonts w:ascii="Helvetica" w:hAnsi="Helvetica" w:cs="Helvetica"/>
          <w:lang w:val="es-MX"/>
        </w:rPr>
        <w:t>Al respecto, se precisa que la prestación d ellos servicios turísticos constituye uno de los componentes principales para el desarrollo de productos y destinos turísticos. En atención a ello, la Ley General de Turismo establece, en su artículo 43, la responsabilidad de los prestadores de servicios de comunicar, difundir y publicar la existencia de normas sobre la prevención y sanción de la ESNNA en el ámbito del turismo.</w:t>
      </w:r>
    </w:p>
    <w:p w14:paraId="43AA5214" w14:textId="77777777" w:rsidR="0007751D" w:rsidRDefault="0007751D" w:rsidP="0007751D">
      <w:pPr>
        <w:jc w:val="both"/>
        <w:rPr>
          <w:rFonts w:ascii="Helvetica" w:hAnsi="Helvetica" w:cs="Helvetica"/>
          <w:lang w:val="es-MX"/>
        </w:rPr>
      </w:pPr>
      <w:r>
        <w:rPr>
          <w:rFonts w:ascii="Helvetica" w:hAnsi="Helvetica" w:cs="Helvetica"/>
          <w:lang w:val="es-MX"/>
        </w:rPr>
        <w:t>En tal sentido, corresponde establecer un conjunto de principios, conductas y prácticas que permitan prevenir y combatir la ESNNA en el ámbito del turismo, a fin de contribuir con el desarrollo turístico sostenible del Perú.</w:t>
      </w:r>
    </w:p>
    <w:p w14:paraId="195C51B3" w14:textId="21C8E355" w:rsidR="0007751D" w:rsidRDefault="0007751D" w:rsidP="0007751D">
      <w:pPr>
        <w:jc w:val="both"/>
        <w:rPr>
          <w:rFonts w:ascii="Helvetica" w:hAnsi="Helvetica" w:cs="Helvetica"/>
          <w:lang w:val="es-MX"/>
        </w:rPr>
      </w:pPr>
      <w:r>
        <w:rPr>
          <w:rFonts w:ascii="Helvetica" w:hAnsi="Helvetica" w:cs="Helvetica"/>
          <w:lang w:val="es-MX"/>
        </w:rPr>
        <w:t xml:space="preserve">Por lo tanto, se establecen los principios que se desarrollan en el Código de Conducta contra la ESNNA en el ámbito del turismo, para prestadores de servicios turísticos, remitiéndose particularmente a los instrumentos jurídicos que se relacionan a continuación: </w:t>
      </w:r>
    </w:p>
    <w:p w14:paraId="72A1A22B" w14:textId="7DBAAEF4" w:rsidR="0007751D"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Ley No. 30812, Ley que establece condiciones para el ingreso de niñas, niños y adolescentes a establecimientos de hospedaje a fin de garantizar su protección e integridad.</w:t>
      </w:r>
    </w:p>
    <w:p w14:paraId="3401795B" w14:textId="327C9999" w:rsidR="0007751D"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 xml:space="preserve">Ley No. 30362, Ley que eleva a rango de Ley el Decreto Supremo No. 001-2012-MIMP y declara de interés nacional y preferente atención la asignación de </w:t>
      </w:r>
      <w:r>
        <w:rPr>
          <w:rFonts w:ascii="Helvetica" w:hAnsi="Helvetica" w:cs="Helvetica"/>
          <w:lang w:val="es-MX"/>
        </w:rPr>
        <w:lastRenderedPageBreak/>
        <w:t>recursos públicos para garantizar el cumplimiento del Plan Nacional de Acción por la Infancia y la Adolescencia-PNAIA 2012-2021, y los planes que lo reemplacen.</w:t>
      </w:r>
    </w:p>
    <w:p w14:paraId="0DCE7427" w14:textId="4D0975EA" w:rsidR="0007751D"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Ley NO. 29408, Ley General de Turismo.</w:t>
      </w:r>
    </w:p>
    <w:p w14:paraId="5A645DE9" w14:textId="0F80B7A0" w:rsidR="0007751D"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Ley No. 28868, Ley que faculta al MINCETUR a tipificar infracciones por vía reglamentaria en materia de prestación de servicios turísticos y calificación de establecimientos de hospedaje y establece las sanciones aplicables.</w:t>
      </w:r>
    </w:p>
    <w:p w14:paraId="2729B848" w14:textId="38419D00" w:rsidR="0007751D"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Ley No. 27337, que aprueba el Nuevo Código de los Niños y Adolescentes.</w:t>
      </w:r>
    </w:p>
    <w:p w14:paraId="5C2D67FE" w14:textId="640E201C" w:rsidR="002718E1" w:rsidRDefault="0007751D" w:rsidP="0007751D">
      <w:pPr>
        <w:pStyle w:val="Prrafodelista"/>
        <w:numPr>
          <w:ilvl w:val="0"/>
          <w:numId w:val="1"/>
        </w:numPr>
        <w:jc w:val="both"/>
        <w:rPr>
          <w:rFonts w:ascii="Helvetica" w:hAnsi="Helvetica" w:cs="Helvetica"/>
          <w:lang w:val="es-MX"/>
        </w:rPr>
      </w:pPr>
      <w:r>
        <w:rPr>
          <w:rFonts w:ascii="Helvetica" w:hAnsi="Helvetica" w:cs="Helvetica"/>
          <w:lang w:val="es-MX"/>
        </w:rPr>
        <w:t>Decreto Supremo No</w:t>
      </w:r>
      <w:r w:rsidR="002718E1">
        <w:rPr>
          <w:rFonts w:ascii="Helvetica" w:hAnsi="Helvetica" w:cs="Helvetica"/>
          <w:lang w:val="es-MX"/>
        </w:rPr>
        <w:t>. 003-2010-MINCETUR, que aprueba el Reglamento de la Ley General de Turismo.</w:t>
      </w:r>
    </w:p>
    <w:p w14:paraId="108CD56C" w14:textId="77777777" w:rsidR="002718E1" w:rsidRDefault="002718E1" w:rsidP="0007751D">
      <w:pPr>
        <w:pStyle w:val="Prrafodelista"/>
        <w:numPr>
          <w:ilvl w:val="0"/>
          <w:numId w:val="1"/>
        </w:numPr>
        <w:jc w:val="both"/>
        <w:rPr>
          <w:rFonts w:ascii="Helvetica" w:hAnsi="Helvetica" w:cs="Helvetica"/>
          <w:lang w:val="es-MX"/>
        </w:rPr>
      </w:pPr>
      <w:r>
        <w:rPr>
          <w:rFonts w:ascii="Helvetica" w:hAnsi="Helvetica" w:cs="Helvetica"/>
          <w:lang w:val="es-MX"/>
        </w:rPr>
        <w:t>Convención Sobre los Derechos del Niño, aprobada como tratado internacional de Derechos Humanos.</w:t>
      </w:r>
    </w:p>
    <w:p w14:paraId="16CE8008" w14:textId="0CEA55D2" w:rsidR="0007751D" w:rsidRDefault="002718E1" w:rsidP="0007751D">
      <w:pPr>
        <w:pStyle w:val="Prrafodelista"/>
        <w:numPr>
          <w:ilvl w:val="0"/>
          <w:numId w:val="1"/>
        </w:numPr>
        <w:jc w:val="both"/>
        <w:rPr>
          <w:rFonts w:ascii="Helvetica" w:hAnsi="Helvetica" w:cs="Helvetica"/>
          <w:lang w:val="es-MX"/>
        </w:rPr>
      </w:pPr>
      <w:r>
        <w:rPr>
          <w:rFonts w:ascii="Helvetica" w:hAnsi="Helvetica" w:cs="Helvetica"/>
          <w:lang w:val="es-MX"/>
        </w:rPr>
        <w:t>Código Ético Mundial para el Turismo de la Organización Mundial del Turismo, aprobado por la Asamblea General de la Organización Mundial del Turismo.</w:t>
      </w:r>
    </w:p>
    <w:p w14:paraId="1797D56A" w14:textId="0FD77EF1" w:rsidR="002718E1" w:rsidRDefault="002718E1" w:rsidP="002718E1">
      <w:pPr>
        <w:pStyle w:val="Prrafodelista"/>
        <w:ind w:left="1080"/>
        <w:jc w:val="both"/>
        <w:rPr>
          <w:rFonts w:ascii="Helvetica" w:hAnsi="Helvetica" w:cs="Helvetica"/>
          <w:lang w:val="es-MX"/>
        </w:rPr>
      </w:pPr>
    </w:p>
    <w:p w14:paraId="2F390673" w14:textId="2756CFE2" w:rsidR="002718E1" w:rsidRPr="00824BCE"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OBJETIVO</w:t>
      </w:r>
    </w:p>
    <w:p w14:paraId="244E4B3E" w14:textId="77777777" w:rsidR="002718E1" w:rsidRDefault="002718E1" w:rsidP="002718E1">
      <w:pPr>
        <w:pStyle w:val="Prrafodelista"/>
        <w:ind w:left="709"/>
        <w:jc w:val="both"/>
        <w:rPr>
          <w:rFonts w:ascii="Helvetica" w:hAnsi="Helvetica" w:cs="Helvetica"/>
          <w:lang w:val="es-MX"/>
        </w:rPr>
      </w:pPr>
    </w:p>
    <w:p w14:paraId="162DF508" w14:textId="0C633625" w:rsidR="002718E1" w:rsidRDefault="002718E1" w:rsidP="002718E1">
      <w:pPr>
        <w:pStyle w:val="Prrafodelista"/>
        <w:ind w:left="709"/>
        <w:jc w:val="both"/>
        <w:rPr>
          <w:rFonts w:ascii="Helvetica" w:hAnsi="Helvetica" w:cs="Helvetica"/>
          <w:lang w:val="es-MX"/>
        </w:rPr>
      </w:pPr>
      <w:r>
        <w:rPr>
          <w:rFonts w:ascii="Helvetica" w:hAnsi="Helvetica" w:cs="Helvetica"/>
          <w:lang w:val="es-MX"/>
        </w:rPr>
        <w:t>El Código de Conducta tiene como objetivo establecer las bases de comportamiento responsable, así como reafirmar los principios, deberes y normas generales que los prestadores de servicios turísticos y sus trabajadores deben conocer y cumplir, a fin de prevenir la ESNNA en el desempeño de sus actividades.</w:t>
      </w:r>
    </w:p>
    <w:p w14:paraId="69912BFD" w14:textId="77777777" w:rsidR="002718E1" w:rsidRDefault="002718E1" w:rsidP="002718E1">
      <w:pPr>
        <w:pStyle w:val="Prrafodelista"/>
        <w:ind w:left="709"/>
        <w:jc w:val="both"/>
        <w:rPr>
          <w:rFonts w:ascii="Helvetica" w:hAnsi="Helvetica" w:cs="Helvetica"/>
          <w:lang w:val="es-MX"/>
        </w:rPr>
      </w:pPr>
    </w:p>
    <w:p w14:paraId="2CF81263" w14:textId="07BB3F4F" w:rsidR="002718E1" w:rsidRPr="002718E1" w:rsidRDefault="002718E1" w:rsidP="002718E1">
      <w:pPr>
        <w:pStyle w:val="Prrafodelista"/>
        <w:ind w:left="709"/>
        <w:jc w:val="both"/>
        <w:rPr>
          <w:rFonts w:ascii="Helvetica" w:hAnsi="Helvetica" w:cs="Helvetica"/>
          <w:lang w:val="es-MX"/>
        </w:rPr>
      </w:pPr>
      <w:r>
        <w:rPr>
          <w:rFonts w:ascii="Helvetica" w:hAnsi="Helvetica" w:cs="Helvetica"/>
          <w:lang w:val="es-MX"/>
        </w:rPr>
        <w:t>En ese contexto, busca promover el compromiso del sector privado en la lucha contra el delito de explotación sexual de menores de edad, en el marco de la Política Nacional de Obligatorio Cumplimiento de Protección de la Infancia y la Adolescencia.</w:t>
      </w:r>
    </w:p>
    <w:p w14:paraId="7D13F273" w14:textId="77777777" w:rsidR="002718E1" w:rsidRDefault="002718E1" w:rsidP="002718E1">
      <w:pPr>
        <w:pStyle w:val="Prrafodelista"/>
        <w:ind w:left="709"/>
        <w:jc w:val="both"/>
        <w:rPr>
          <w:rFonts w:ascii="Helvetica" w:hAnsi="Helvetica" w:cs="Helvetica"/>
          <w:lang w:val="es-MX"/>
        </w:rPr>
      </w:pPr>
    </w:p>
    <w:p w14:paraId="5132E08E" w14:textId="272FA444" w:rsidR="002718E1" w:rsidRPr="00824BCE"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ALCANCE</w:t>
      </w:r>
    </w:p>
    <w:p w14:paraId="66ED356F" w14:textId="77777777" w:rsidR="002718E1" w:rsidRDefault="002718E1" w:rsidP="002718E1">
      <w:pPr>
        <w:pStyle w:val="Prrafodelista"/>
        <w:ind w:left="709"/>
        <w:jc w:val="both"/>
        <w:rPr>
          <w:rFonts w:ascii="Helvetica" w:hAnsi="Helvetica" w:cs="Helvetica"/>
          <w:lang w:val="es-MX"/>
        </w:rPr>
      </w:pPr>
    </w:p>
    <w:p w14:paraId="524B7203" w14:textId="2E191BC3" w:rsidR="002718E1" w:rsidRDefault="002718E1" w:rsidP="002718E1">
      <w:pPr>
        <w:pStyle w:val="Prrafodelista"/>
        <w:ind w:left="709"/>
        <w:jc w:val="both"/>
        <w:rPr>
          <w:rFonts w:ascii="Helvetica" w:hAnsi="Helvetica" w:cs="Helvetica"/>
          <w:lang w:val="es-MX"/>
        </w:rPr>
      </w:pPr>
      <w:r>
        <w:rPr>
          <w:rFonts w:ascii="Helvetica" w:hAnsi="Helvetica" w:cs="Helvetica"/>
          <w:lang w:val="es-MX"/>
        </w:rPr>
        <w:t>El presente Código es aplicable a Inversiones Turísticas Gama S.A.C.S. como prestador de servicios turísticos comprendidos dentro del Anexo No. 1 de la Ley General de Turismo.</w:t>
      </w:r>
    </w:p>
    <w:p w14:paraId="4942FCA5" w14:textId="77777777" w:rsidR="002718E1" w:rsidRDefault="002718E1" w:rsidP="002718E1">
      <w:pPr>
        <w:pStyle w:val="Prrafodelista"/>
        <w:ind w:left="709"/>
        <w:jc w:val="both"/>
        <w:rPr>
          <w:rFonts w:ascii="Helvetica" w:hAnsi="Helvetica" w:cs="Helvetica"/>
          <w:lang w:val="es-MX"/>
        </w:rPr>
      </w:pPr>
    </w:p>
    <w:p w14:paraId="26BAD73C" w14:textId="4957D840" w:rsidR="002718E1"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PRINCIPIOS</w:t>
      </w:r>
    </w:p>
    <w:p w14:paraId="6B6A4291" w14:textId="77777777" w:rsidR="00824BCE" w:rsidRDefault="00824BCE" w:rsidP="00824BCE">
      <w:pPr>
        <w:pStyle w:val="Prrafodelista"/>
        <w:ind w:left="709"/>
        <w:jc w:val="both"/>
        <w:rPr>
          <w:rFonts w:ascii="Helvetica" w:hAnsi="Helvetica" w:cs="Helvetica"/>
          <w:b/>
          <w:bCs/>
          <w:lang w:val="es-MX"/>
        </w:rPr>
      </w:pPr>
    </w:p>
    <w:p w14:paraId="4F96D8BD" w14:textId="4F52EFDE" w:rsidR="00824BCE" w:rsidRDefault="00824BCE" w:rsidP="00824BCE">
      <w:pPr>
        <w:pStyle w:val="Prrafodelista"/>
        <w:numPr>
          <w:ilvl w:val="1"/>
          <w:numId w:val="2"/>
        </w:numPr>
        <w:jc w:val="both"/>
        <w:rPr>
          <w:rFonts w:ascii="Helvetica" w:hAnsi="Helvetica" w:cs="Helvetica"/>
          <w:b/>
          <w:bCs/>
          <w:lang w:val="es-MX"/>
        </w:rPr>
      </w:pPr>
      <w:r>
        <w:rPr>
          <w:rFonts w:ascii="Helvetica" w:hAnsi="Helvetica" w:cs="Helvetica"/>
          <w:b/>
          <w:bCs/>
          <w:lang w:val="es-MX"/>
        </w:rPr>
        <w:t>E</w:t>
      </w:r>
      <w:r w:rsidR="003E460D">
        <w:rPr>
          <w:rFonts w:ascii="Helvetica" w:hAnsi="Helvetica" w:cs="Helvetica"/>
          <w:b/>
          <w:bCs/>
          <w:lang w:val="es-MX"/>
        </w:rPr>
        <w:t>l interés superior de las niñas, niños y adolescentes</w:t>
      </w:r>
    </w:p>
    <w:p w14:paraId="66AAF512" w14:textId="77777777" w:rsidR="003E460D" w:rsidRDefault="003E460D" w:rsidP="003E460D">
      <w:pPr>
        <w:pStyle w:val="Prrafodelista"/>
        <w:ind w:left="1429"/>
        <w:jc w:val="both"/>
        <w:rPr>
          <w:rFonts w:ascii="Helvetica" w:hAnsi="Helvetica" w:cs="Helvetica"/>
          <w:b/>
          <w:bCs/>
          <w:lang w:val="es-MX"/>
        </w:rPr>
      </w:pPr>
    </w:p>
    <w:p w14:paraId="5D3CED0E" w14:textId="0C822486" w:rsidR="003E460D" w:rsidRPr="003E460D" w:rsidRDefault="003E460D" w:rsidP="003E460D">
      <w:pPr>
        <w:pStyle w:val="Prrafodelista"/>
        <w:ind w:left="1429"/>
        <w:jc w:val="both"/>
        <w:rPr>
          <w:rFonts w:ascii="Helvetica" w:hAnsi="Helvetica" w:cs="Helvetica"/>
          <w:lang w:val="es-MX"/>
        </w:rPr>
      </w:pPr>
      <w:r w:rsidRPr="003E460D">
        <w:rPr>
          <w:rFonts w:ascii="Helvetica" w:hAnsi="Helvetica" w:cs="Helvetica"/>
          <w:lang w:val="es-MX"/>
        </w:rPr>
        <w:t>Las niñas, niños y adolescentes son sujetos plenos de derechos que deben ser respetados por la familia, el Estado y la sociedad. Este principio obliga al estado y a la sociedad a reconocer y garantizar los derechos humanos de las niñas, niños y adolescentes y otorga preeminencia al interés superior de la niñez y adolescencia por sobre otros intereses y consideraciones.</w:t>
      </w:r>
    </w:p>
    <w:p w14:paraId="2C0B613E" w14:textId="77777777" w:rsidR="003E460D" w:rsidRDefault="003E460D" w:rsidP="003E460D">
      <w:pPr>
        <w:pStyle w:val="Prrafodelista"/>
        <w:ind w:left="1429"/>
        <w:jc w:val="both"/>
        <w:rPr>
          <w:rFonts w:ascii="Helvetica" w:hAnsi="Helvetica" w:cs="Helvetica"/>
          <w:b/>
          <w:bCs/>
          <w:lang w:val="es-MX"/>
        </w:rPr>
      </w:pPr>
    </w:p>
    <w:p w14:paraId="26697FA5" w14:textId="104400FC" w:rsidR="003E460D" w:rsidRDefault="003E460D" w:rsidP="00824BCE">
      <w:pPr>
        <w:pStyle w:val="Prrafodelista"/>
        <w:numPr>
          <w:ilvl w:val="1"/>
          <w:numId w:val="2"/>
        </w:numPr>
        <w:jc w:val="both"/>
        <w:rPr>
          <w:rFonts w:ascii="Helvetica" w:hAnsi="Helvetica" w:cs="Helvetica"/>
          <w:b/>
          <w:bCs/>
          <w:lang w:val="es-MX"/>
        </w:rPr>
      </w:pPr>
      <w:r>
        <w:rPr>
          <w:rFonts w:ascii="Helvetica" w:hAnsi="Helvetica" w:cs="Helvetica"/>
          <w:b/>
          <w:bCs/>
          <w:lang w:val="es-MX"/>
        </w:rPr>
        <w:t>Las niñas, niños y adolescentes como sujeto de derecho</w:t>
      </w:r>
    </w:p>
    <w:p w14:paraId="14C16F7A" w14:textId="77777777" w:rsidR="003E460D" w:rsidRDefault="003E460D" w:rsidP="003E460D">
      <w:pPr>
        <w:pStyle w:val="Prrafodelista"/>
        <w:ind w:left="1429"/>
        <w:jc w:val="both"/>
        <w:rPr>
          <w:rFonts w:ascii="Helvetica" w:hAnsi="Helvetica" w:cs="Helvetica"/>
          <w:b/>
          <w:bCs/>
          <w:lang w:val="es-MX"/>
        </w:rPr>
      </w:pPr>
    </w:p>
    <w:p w14:paraId="7A7BFA09" w14:textId="2A283913" w:rsidR="003E460D" w:rsidRPr="003E460D" w:rsidRDefault="003E460D" w:rsidP="003E460D">
      <w:pPr>
        <w:pStyle w:val="Prrafodelista"/>
        <w:ind w:left="1429"/>
        <w:jc w:val="both"/>
        <w:rPr>
          <w:rFonts w:ascii="Helvetica" w:hAnsi="Helvetica" w:cs="Helvetica"/>
          <w:lang w:val="es-MX"/>
        </w:rPr>
      </w:pPr>
      <w:r>
        <w:rPr>
          <w:rFonts w:ascii="Helvetica" w:hAnsi="Helvetica" w:cs="Helvetica"/>
          <w:lang w:val="es-MX"/>
        </w:rPr>
        <w:t xml:space="preserve">Este principio resalta la condición de las niña, niños y adolescentes como seres humanos completos y separados, poseedores de potencialidades a desarrollar y titulares de derechos civiles, políticos, económicos, sociales y culturales que les deben ser reconocidos por el solo hecho de </w:t>
      </w:r>
      <w:r>
        <w:rPr>
          <w:rFonts w:ascii="Helvetica" w:hAnsi="Helvetica" w:cs="Helvetica"/>
          <w:lang w:val="es-MX"/>
        </w:rPr>
        <w:lastRenderedPageBreak/>
        <w:t>existir. En este sentido, las niñas, niños y adolescentes no son considerados incapaces; conforme a lo establecido en el Plan Nacional de Acción por la Infancia y la Adolescencia.</w:t>
      </w:r>
    </w:p>
    <w:p w14:paraId="4A9F8541" w14:textId="77777777" w:rsidR="003E460D" w:rsidRDefault="003E460D" w:rsidP="003E460D">
      <w:pPr>
        <w:pStyle w:val="Prrafodelista"/>
        <w:ind w:left="1429"/>
        <w:jc w:val="both"/>
        <w:rPr>
          <w:rFonts w:ascii="Helvetica" w:hAnsi="Helvetica" w:cs="Helvetica"/>
          <w:b/>
          <w:bCs/>
          <w:lang w:val="es-MX"/>
        </w:rPr>
      </w:pPr>
    </w:p>
    <w:p w14:paraId="49187F27" w14:textId="5862439F" w:rsidR="003E460D" w:rsidRDefault="003E460D" w:rsidP="00824BCE">
      <w:pPr>
        <w:pStyle w:val="Prrafodelista"/>
        <w:numPr>
          <w:ilvl w:val="1"/>
          <w:numId w:val="2"/>
        </w:numPr>
        <w:jc w:val="both"/>
        <w:rPr>
          <w:rFonts w:ascii="Helvetica" w:hAnsi="Helvetica" w:cs="Helvetica"/>
          <w:b/>
          <w:bCs/>
          <w:lang w:val="es-MX"/>
        </w:rPr>
      </w:pPr>
      <w:r>
        <w:rPr>
          <w:rFonts w:ascii="Helvetica" w:hAnsi="Helvetica" w:cs="Helvetica"/>
          <w:b/>
          <w:bCs/>
          <w:lang w:val="es-MX"/>
        </w:rPr>
        <w:t>Desarrollo sostenible del turismo</w:t>
      </w:r>
    </w:p>
    <w:p w14:paraId="759BB9E4" w14:textId="615C47B3" w:rsidR="003E460D" w:rsidRPr="003E460D" w:rsidRDefault="003E460D" w:rsidP="003E460D">
      <w:pPr>
        <w:ind w:left="1416"/>
        <w:jc w:val="both"/>
        <w:rPr>
          <w:rFonts w:ascii="Helvetica" w:hAnsi="Helvetica" w:cs="Helvetica"/>
          <w:lang w:val="es-MX"/>
        </w:rPr>
      </w:pPr>
      <w:r>
        <w:rPr>
          <w:rFonts w:ascii="Helvetica" w:hAnsi="Helvetica" w:cs="Helvetica"/>
          <w:lang w:val="es-MX"/>
        </w:rPr>
        <w:t>La actividad turística debe mejorar la calidad de vida de las poblaciones locales y fortalecer su desarrollo social, cultural y económico, en igualdad de condiciones. Por lo tanto, para que el turismo sea sostenible, necesita respetar al medio ambiente, nuestra cultura y los derechos humanos, en especial los de niñas, niños y adolescentes, por ello fomentamos el disfrute de un intercambio de experiencias positivas entre turistas y visitantes, basadas en el respeto y equidad.</w:t>
      </w:r>
    </w:p>
    <w:p w14:paraId="512DF849" w14:textId="77777777" w:rsidR="00824BCE" w:rsidRPr="00824BCE" w:rsidRDefault="00824BCE" w:rsidP="00824BCE">
      <w:pPr>
        <w:pStyle w:val="Prrafodelista"/>
        <w:ind w:left="1080"/>
        <w:jc w:val="both"/>
        <w:rPr>
          <w:rFonts w:ascii="Helvetica" w:hAnsi="Helvetica" w:cs="Helvetica"/>
          <w:b/>
          <w:bCs/>
          <w:lang w:val="es-MX"/>
        </w:rPr>
      </w:pPr>
    </w:p>
    <w:p w14:paraId="5DD89B43" w14:textId="558C3E02" w:rsidR="002718E1" w:rsidRPr="00824BCE"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DEBERES</w:t>
      </w:r>
    </w:p>
    <w:p w14:paraId="0C77297E" w14:textId="77777777" w:rsidR="002718E1" w:rsidRDefault="002718E1" w:rsidP="002718E1">
      <w:pPr>
        <w:pStyle w:val="Prrafodelista"/>
        <w:ind w:left="709"/>
        <w:jc w:val="both"/>
        <w:rPr>
          <w:rFonts w:ascii="Helvetica" w:hAnsi="Helvetica" w:cs="Helvetica"/>
          <w:lang w:val="es-MX"/>
        </w:rPr>
      </w:pPr>
    </w:p>
    <w:p w14:paraId="6AF332DA" w14:textId="77777777" w:rsidR="003E460D" w:rsidRDefault="003E460D" w:rsidP="003E460D">
      <w:pPr>
        <w:pStyle w:val="Prrafodelista"/>
        <w:ind w:left="709"/>
        <w:jc w:val="both"/>
        <w:rPr>
          <w:rFonts w:ascii="Helvetica" w:hAnsi="Helvetica" w:cs="Helvetica"/>
          <w:lang w:val="es-MX"/>
        </w:rPr>
      </w:pPr>
      <w:r>
        <w:rPr>
          <w:rFonts w:ascii="Helvetica" w:hAnsi="Helvetica" w:cs="Helvetica"/>
          <w:lang w:val="es-MX"/>
        </w:rPr>
        <w:t>El prestador de servicios turísticos se encuentra obligado a cumplir con los deberes establecidos en la Ley No. 29408, Ley General de Turismo, y su Reglamento; así como aquellos deberes establecidos en la Ley No. 30802, Ley que establece condiciones para el ingreso de niñas, niños y adolescentes a establecimientos de hospedaje a fin de garantizar su protección e integridad, poniendo especial diligencia en:</w:t>
      </w:r>
    </w:p>
    <w:p w14:paraId="12061D6E" w14:textId="77777777" w:rsidR="003E460D" w:rsidRDefault="003E460D" w:rsidP="003E460D">
      <w:pPr>
        <w:pStyle w:val="Prrafodelista"/>
        <w:ind w:left="709"/>
        <w:jc w:val="both"/>
        <w:rPr>
          <w:rFonts w:ascii="Helvetica" w:hAnsi="Helvetica" w:cs="Helvetica"/>
          <w:lang w:val="es-MX"/>
        </w:rPr>
      </w:pPr>
    </w:p>
    <w:p w14:paraId="62C9EDC4" w14:textId="77777777" w:rsidR="003E460D" w:rsidRDefault="003E460D" w:rsidP="003E460D">
      <w:pPr>
        <w:pStyle w:val="Prrafodelista"/>
        <w:numPr>
          <w:ilvl w:val="0"/>
          <w:numId w:val="4"/>
        </w:numPr>
        <w:jc w:val="both"/>
        <w:rPr>
          <w:rFonts w:ascii="Helvetica" w:hAnsi="Helvetica" w:cs="Helvetica"/>
          <w:lang w:val="es-MX"/>
        </w:rPr>
      </w:pPr>
      <w:r>
        <w:rPr>
          <w:rFonts w:ascii="Helvetica" w:hAnsi="Helvetica" w:cs="Helvetica"/>
          <w:lang w:val="es-MX"/>
        </w:rPr>
        <w:t>Mantener una política ética de rechazo frente a la ESNNA en el ámbito del turismo, a fin de proteger a las niña, niños y adolescentes de toda forma de explotación sexual propiciada por turistas nacionales o extranjeros, otros prestadores de servicios turísticos y cualquier otra persona.</w:t>
      </w:r>
    </w:p>
    <w:p w14:paraId="45F51B57" w14:textId="77777777" w:rsidR="003E460D" w:rsidRDefault="003E460D" w:rsidP="003E460D">
      <w:pPr>
        <w:pStyle w:val="Prrafodelista"/>
        <w:ind w:left="1069"/>
        <w:jc w:val="both"/>
        <w:rPr>
          <w:rFonts w:ascii="Helvetica" w:hAnsi="Helvetica" w:cs="Helvetica"/>
          <w:lang w:val="es-MX"/>
        </w:rPr>
      </w:pPr>
    </w:p>
    <w:p w14:paraId="00DAAB68" w14:textId="663FC2AA" w:rsidR="002718E1" w:rsidRDefault="003E460D" w:rsidP="003E460D">
      <w:pPr>
        <w:pStyle w:val="Prrafodelista"/>
        <w:numPr>
          <w:ilvl w:val="0"/>
          <w:numId w:val="4"/>
        </w:numPr>
        <w:jc w:val="both"/>
        <w:rPr>
          <w:rFonts w:ascii="Helvetica" w:hAnsi="Helvetica" w:cs="Helvetica"/>
          <w:lang w:val="es-MX"/>
        </w:rPr>
      </w:pPr>
      <w:r>
        <w:rPr>
          <w:rFonts w:ascii="Helvetica" w:hAnsi="Helvetica" w:cs="Helvetica"/>
          <w:lang w:val="es-MX"/>
        </w:rPr>
        <w:t>Ningún prestador de servicios turísticos promoverá o permitirá la ESNNA durante la prestación de sus servicios.</w:t>
      </w:r>
      <w:r w:rsidRPr="003E460D">
        <w:rPr>
          <w:rFonts w:ascii="Helvetica" w:hAnsi="Helvetica" w:cs="Helvetica"/>
          <w:lang w:val="es-MX"/>
        </w:rPr>
        <w:t xml:space="preserve"> </w:t>
      </w:r>
    </w:p>
    <w:p w14:paraId="574BF667" w14:textId="77777777" w:rsidR="003E460D" w:rsidRPr="003E460D" w:rsidRDefault="003E460D" w:rsidP="003E460D">
      <w:pPr>
        <w:pStyle w:val="Prrafodelista"/>
        <w:rPr>
          <w:rFonts w:ascii="Helvetica" w:hAnsi="Helvetica" w:cs="Helvetica"/>
          <w:lang w:val="es-MX"/>
        </w:rPr>
      </w:pPr>
    </w:p>
    <w:p w14:paraId="54DA5717" w14:textId="46FAC220" w:rsidR="003E460D" w:rsidRDefault="003E460D" w:rsidP="003E460D">
      <w:pPr>
        <w:pStyle w:val="Prrafodelista"/>
        <w:numPr>
          <w:ilvl w:val="0"/>
          <w:numId w:val="4"/>
        </w:numPr>
        <w:jc w:val="both"/>
        <w:rPr>
          <w:rFonts w:ascii="Helvetica" w:hAnsi="Helvetica" w:cs="Helvetica"/>
          <w:lang w:val="es-MX"/>
        </w:rPr>
      </w:pPr>
      <w:r>
        <w:rPr>
          <w:rFonts w:ascii="Helvetica" w:hAnsi="Helvetica" w:cs="Helvetica"/>
          <w:lang w:val="es-MX"/>
        </w:rPr>
        <w:t>No promover, ni permitir el ingreso de niñas, niños o adolescentes a las habitaciones o departamentos de establecimientos de hospedaje sin la compañía de uno o ambos padres, tutor o responsable, debidamente acreditados por la autoridad competente o con la documentación que demuestre la relación judicial o legal que existe entre ellos o, en su defecto, con autoridad otorgada por escrito y con firma legalizada por Notario.</w:t>
      </w:r>
    </w:p>
    <w:p w14:paraId="32784504" w14:textId="77777777" w:rsidR="003E460D" w:rsidRPr="003E460D" w:rsidRDefault="003E460D" w:rsidP="003E460D">
      <w:pPr>
        <w:pStyle w:val="Prrafodelista"/>
        <w:rPr>
          <w:rFonts w:ascii="Helvetica" w:hAnsi="Helvetica" w:cs="Helvetica"/>
          <w:lang w:val="es-MX"/>
        </w:rPr>
      </w:pPr>
    </w:p>
    <w:p w14:paraId="2A163EE9" w14:textId="4DB5E23A" w:rsidR="003E460D" w:rsidRDefault="003E460D" w:rsidP="003E460D">
      <w:pPr>
        <w:pStyle w:val="Prrafodelista"/>
        <w:numPr>
          <w:ilvl w:val="0"/>
          <w:numId w:val="4"/>
        </w:numPr>
        <w:jc w:val="both"/>
        <w:rPr>
          <w:rFonts w:ascii="Helvetica" w:hAnsi="Helvetica" w:cs="Helvetica"/>
          <w:lang w:val="es-MX"/>
        </w:rPr>
      </w:pPr>
      <w:r>
        <w:rPr>
          <w:rFonts w:ascii="Helvetica" w:hAnsi="Helvetica" w:cs="Helvetica"/>
          <w:lang w:val="es-MX"/>
        </w:rPr>
        <w:t>Denunciar inmediatamente ante la autoridad competente todo hecho vinculado con la ESNNA o cualquier otro ilícito penal del cual tomen conocimiento en el desarrollo de su actividad.</w:t>
      </w:r>
    </w:p>
    <w:p w14:paraId="3E68E53A" w14:textId="77777777" w:rsidR="003E460D" w:rsidRPr="003E460D" w:rsidRDefault="003E460D" w:rsidP="003E460D">
      <w:pPr>
        <w:pStyle w:val="Prrafodelista"/>
        <w:rPr>
          <w:rFonts w:ascii="Helvetica" w:hAnsi="Helvetica" w:cs="Helvetica"/>
          <w:lang w:val="es-MX"/>
        </w:rPr>
      </w:pPr>
    </w:p>
    <w:p w14:paraId="58B2372F" w14:textId="43C2DE43" w:rsidR="002718E1" w:rsidRDefault="003E460D" w:rsidP="002718E1">
      <w:pPr>
        <w:pStyle w:val="Prrafodelista"/>
        <w:numPr>
          <w:ilvl w:val="0"/>
          <w:numId w:val="4"/>
        </w:numPr>
        <w:ind w:left="709"/>
        <w:jc w:val="both"/>
        <w:rPr>
          <w:rFonts w:ascii="Helvetica" w:hAnsi="Helvetica" w:cs="Helvetica"/>
          <w:lang w:val="es-MX"/>
        </w:rPr>
      </w:pPr>
      <w:r w:rsidRPr="003E460D">
        <w:rPr>
          <w:rFonts w:ascii="Helvetica" w:hAnsi="Helvetica" w:cs="Helvetica"/>
          <w:lang w:val="es-MX"/>
        </w:rPr>
        <w:t>Informar y capacitar al personal sobre la política de la empresa respecto de la prevención de la ESNNA en el ámbito del turismo.</w:t>
      </w:r>
    </w:p>
    <w:p w14:paraId="33638EE8" w14:textId="77777777" w:rsidR="003E460D" w:rsidRPr="003E460D" w:rsidRDefault="003E460D" w:rsidP="003E460D">
      <w:pPr>
        <w:pStyle w:val="Prrafodelista"/>
        <w:rPr>
          <w:rFonts w:ascii="Helvetica" w:hAnsi="Helvetica" w:cs="Helvetica"/>
          <w:lang w:val="es-MX"/>
        </w:rPr>
      </w:pPr>
    </w:p>
    <w:p w14:paraId="0A652D9E" w14:textId="0E06ADC0" w:rsidR="003E460D" w:rsidRDefault="003E460D" w:rsidP="003E460D">
      <w:pPr>
        <w:pStyle w:val="Prrafodelista"/>
        <w:numPr>
          <w:ilvl w:val="0"/>
          <w:numId w:val="4"/>
        </w:numPr>
        <w:ind w:left="709"/>
        <w:jc w:val="both"/>
        <w:rPr>
          <w:rFonts w:ascii="Helvetica" w:hAnsi="Helvetica" w:cs="Helvetica"/>
          <w:lang w:val="es-MX"/>
        </w:rPr>
      </w:pPr>
      <w:r>
        <w:rPr>
          <w:rFonts w:ascii="Helvetica" w:hAnsi="Helvetica" w:cs="Helvetica"/>
          <w:lang w:val="es-MX"/>
        </w:rPr>
        <w:t>Abstenerse de ofrecer en los programas de promoción turística y en planes turísticos, expresa o subrepticiamente, situaciones vinculadas a la ESNNA, así como abstenerse de conducir a los turistas, directamente o a través de terceros a establecimientos o lugares donde se practique la ESNNA.</w:t>
      </w:r>
    </w:p>
    <w:p w14:paraId="377963F5" w14:textId="77777777" w:rsidR="003E460D" w:rsidRPr="003E460D" w:rsidRDefault="003E460D" w:rsidP="003E460D">
      <w:pPr>
        <w:pStyle w:val="Prrafodelista"/>
        <w:rPr>
          <w:rFonts w:ascii="Helvetica" w:hAnsi="Helvetica" w:cs="Helvetica"/>
          <w:lang w:val="es-MX"/>
        </w:rPr>
      </w:pPr>
    </w:p>
    <w:p w14:paraId="244CF5AB" w14:textId="7C317AB8" w:rsidR="003E460D" w:rsidRDefault="003E460D" w:rsidP="003E460D">
      <w:pPr>
        <w:pStyle w:val="Prrafodelista"/>
        <w:numPr>
          <w:ilvl w:val="0"/>
          <w:numId w:val="4"/>
        </w:numPr>
        <w:ind w:left="709"/>
        <w:jc w:val="both"/>
        <w:rPr>
          <w:rFonts w:ascii="Helvetica" w:hAnsi="Helvetica" w:cs="Helvetica"/>
          <w:lang w:val="es-MX"/>
        </w:rPr>
      </w:pPr>
      <w:r>
        <w:rPr>
          <w:rFonts w:ascii="Helvetica" w:hAnsi="Helvetica" w:cs="Helvetica"/>
          <w:lang w:val="es-MX"/>
        </w:rPr>
        <w:lastRenderedPageBreak/>
        <w:t>Colocar en un lugar visible de su establecimiento el material informativo de prevención de la ESNNA, diseñado por el MINCETUR</w:t>
      </w:r>
      <w:r w:rsidR="00B30D80">
        <w:rPr>
          <w:rFonts w:ascii="Helvetica" w:hAnsi="Helvetica" w:cs="Helvetica"/>
          <w:lang w:val="es-MX"/>
        </w:rPr>
        <w:t>.</w:t>
      </w:r>
    </w:p>
    <w:p w14:paraId="74587542" w14:textId="77777777" w:rsidR="00B30D80" w:rsidRPr="00B30D80" w:rsidRDefault="00B30D80" w:rsidP="00B30D80">
      <w:pPr>
        <w:pStyle w:val="Prrafodelista"/>
        <w:rPr>
          <w:rFonts w:ascii="Helvetica" w:hAnsi="Helvetica" w:cs="Helvetica"/>
          <w:lang w:val="es-MX"/>
        </w:rPr>
      </w:pPr>
    </w:p>
    <w:p w14:paraId="0F240820" w14:textId="660F0065" w:rsidR="00B30D80" w:rsidRDefault="00B30D80" w:rsidP="003E460D">
      <w:pPr>
        <w:pStyle w:val="Prrafodelista"/>
        <w:numPr>
          <w:ilvl w:val="0"/>
          <w:numId w:val="4"/>
        </w:numPr>
        <w:ind w:left="709"/>
        <w:jc w:val="both"/>
        <w:rPr>
          <w:rFonts w:ascii="Helvetica" w:hAnsi="Helvetica" w:cs="Helvetica"/>
          <w:lang w:val="es-MX"/>
        </w:rPr>
      </w:pPr>
      <w:r>
        <w:rPr>
          <w:rFonts w:ascii="Helvetica" w:hAnsi="Helvetica" w:cs="Helvetica"/>
          <w:lang w:val="es-MX"/>
        </w:rPr>
        <w:t>Presentar un informe anual reportando acciones realizadas en el marco de prevención de la ESNNA, si fuera el caso.</w:t>
      </w:r>
    </w:p>
    <w:p w14:paraId="56647B00" w14:textId="77777777" w:rsidR="003E460D" w:rsidRDefault="003E460D" w:rsidP="003E460D">
      <w:pPr>
        <w:pStyle w:val="Prrafodelista"/>
        <w:ind w:left="709"/>
        <w:jc w:val="both"/>
        <w:rPr>
          <w:rFonts w:ascii="Helvetica" w:hAnsi="Helvetica" w:cs="Helvetica"/>
          <w:b/>
          <w:bCs/>
          <w:lang w:val="es-MX"/>
        </w:rPr>
      </w:pPr>
    </w:p>
    <w:p w14:paraId="5B6CD175" w14:textId="75D062A0" w:rsidR="002718E1" w:rsidRPr="00824BCE"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DIFUSIÓN, SUSCRIPCIÓN Y MONITOREO</w:t>
      </w:r>
    </w:p>
    <w:p w14:paraId="6FAA901E" w14:textId="77777777" w:rsidR="002718E1" w:rsidRDefault="002718E1" w:rsidP="002718E1">
      <w:pPr>
        <w:pStyle w:val="Prrafodelista"/>
        <w:ind w:left="709"/>
        <w:jc w:val="both"/>
        <w:rPr>
          <w:rFonts w:ascii="Helvetica" w:hAnsi="Helvetica" w:cs="Helvetica"/>
          <w:lang w:val="es-MX"/>
        </w:rPr>
      </w:pPr>
    </w:p>
    <w:p w14:paraId="0FBDCA02" w14:textId="4637C56A" w:rsidR="002718E1" w:rsidRPr="00824BCE" w:rsidRDefault="002718E1" w:rsidP="002718E1">
      <w:pPr>
        <w:pStyle w:val="Prrafodelista"/>
        <w:numPr>
          <w:ilvl w:val="1"/>
          <w:numId w:val="2"/>
        </w:numPr>
        <w:jc w:val="both"/>
        <w:rPr>
          <w:rFonts w:ascii="Helvetica" w:hAnsi="Helvetica" w:cs="Helvetica"/>
          <w:b/>
          <w:bCs/>
          <w:lang w:val="es-MX"/>
        </w:rPr>
      </w:pPr>
      <w:r w:rsidRPr="00824BCE">
        <w:rPr>
          <w:rFonts w:ascii="Helvetica" w:hAnsi="Helvetica" w:cs="Helvetica"/>
          <w:b/>
          <w:bCs/>
          <w:lang w:val="es-MX"/>
        </w:rPr>
        <w:t>Difusión</w:t>
      </w:r>
    </w:p>
    <w:p w14:paraId="2FEE6178" w14:textId="77777777" w:rsidR="002718E1" w:rsidRDefault="002718E1" w:rsidP="002718E1">
      <w:pPr>
        <w:pStyle w:val="Prrafodelista"/>
        <w:ind w:left="1429"/>
        <w:jc w:val="both"/>
        <w:rPr>
          <w:rFonts w:ascii="Helvetica" w:hAnsi="Helvetica" w:cs="Helvetica"/>
          <w:lang w:val="es-MX"/>
        </w:rPr>
      </w:pPr>
    </w:p>
    <w:p w14:paraId="03AB2C8F" w14:textId="611FB837" w:rsidR="002718E1" w:rsidRDefault="002718E1" w:rsidP="002718E1">
      <w:pPr>
        <w:pStyle w:val="Prrafodelista"/>
        <w:ind w:left="1429"/>
        <w:jc w:val="both"/>
        <w:rPr>
          <w:rFonts w:ascii="Helvetica" w:hAnsi="Helvetica" w:cs="Helvetica"/>
          <w:lang w:val="es-MX"/>
        </w:rPr>
      </w:pPr>
      <w:r>
        <w:rPr>
          <w:rFonts w:ascii="Helvetica" w:hAnsi="Helvetica" w:cs="Helvetica"/>
          <w:lang w:val="es-MX"/>
        </w:rPr>
        <w:t>El prestador de servicios turísticos debe difundir las leyes, normas, disposiciones internas, manuales y demás información que consiere relevante en materia de prevención de la ESNNA entre sus trabajadores, conforme al artículo 43 del Reglamento de la Ley General de Turismo aprobado por el Decreto Supremo No. 003-2010-MINCETUR. Asimismo, informará a su personal y proveedores o contratistas sobre el deber de cumplir las políticas contenidas en el presente documento, a fin de prevenir la ESNNA en el ámbito del turismo.</w:t>
      </w:r>
    </w:p>
    <w:p w14:paraId="1A5686C6" w14:textId="77777777" w:rsidR="002718E1" w:rsidRDefault="002718E1" w:rsidP="002718E1">
      <w:pPr>
        <w:pStyle w:val="Prrafodelista"/>
        <w:ind w:left="1429"/>
        <w:jc w:val="both"/>
        <w:rPr>
          <w:rFonts w:ascii="Helvetica" w:hAnsi="Helvetica" w:cs="Helvetica"/>
          <w:lang w:val="es-MX"/>
        </w:rPr>
      </w:pPr>
    </w:p>
    <w:p w14:paraId="7F293DF8" w14:textId="07626FB9" w:rsidR="002718E1" w:rsidRPr="00824BCE" w:rsidRDefault="002718E1" w:rsidP="002718E1">
      <w:pPr>
        <w:pStyle w:val="Prrafodelista"/>
        <w:numPr>
          <w:ilvl w:val="1"/>
          <w:numId w:val="2"/>
        </w:numPr>
        <w:jc w:val="both"/>
        <w:rPr>
          <w:rFonts w:ascii="Helvetica" w:hAnsi="Helvetica" w:cs="Helvetica"/>
          <w:b/>
          <w:bCs/>
          <w:lang w:val="es-MX"/>
        </w:rPr>
      </w:pPr>
      <w:r w:rsidRPr="00824BCE">
        <w:rPr>
          <w:rFonts w:ascii="Helvetica" w:hAnsi="Helvetica" w:cs="Helvetica"/>
          <w:b/>
          <w:bCs/>
          <w:lang w:val="es-MX"/>
        </w:rPr>
        <w:t>Suscripción</w:t>
      </w:r>
    </w:p>
    <w:p w14:paraId="666262CB" w14:textId="77777777" w:rsidR="002718E1" w:rsidRDefault="002718E1" w:rsidP="002718E1">
      <w:pPr>
        <w:pStyle w:val="Prrafodelista"/>
        <w:ind w:left="1429"/>
        <w:jc w:val="both"/>
        <w:rPr>
          <w:rFonts w:ascii="Helvetica" w:hAnsi="Helvetica" w:cs="Helvetica"/>
          <w:lang w:val="es-MX"/>
        </w:rPr>
      </w:pPr>
    </w:p>
    <w:p w14:paraId="0C80EED6" w14:textId="1DE9542A" w:rsidR="002718E1" w:rsidRDefault="002718E1" w:rsidP="002718E1">
      <w:pPr>
        <w:pStyle w:val="Prrafodelista"/>
        <w:ind w:left="1429"/>
        <w:jc w:val="both"/>
        <w:rPr>
          <w:rFonts w:ascii="Helvetica" w:hAnsi="Helvetica" w:cs="Helvetica"/>
          <w:lang w:val="es-MX"/>
        </w:rPr>
      </w:pPr>
      <w:r>
        <w:rPr>
          <w:rFonts w:ascii="Helvetica" w:hAnsi="Helvetica" w:cs="Helvetica"/>
          <w:lang w:val="es-MX"/>
        </w:rPr>
        <w:t>Los Gobiernos Regionales, a través de la DIRCETUR o GERCETUR correspondiente, gestionarán la suscripción del Código de Conducta por parte de todos los prestadores de servicios turísticos, la cual se acreditará con la firma de la Declaración Jurada de Suscripción Obligatoria, aprobada por el MINCETUR.</w:t>
      </w:r>
    </w:p>
    <w:p w14:paraId="334B1C39" w14:textId="77777777" w:rsidR="002718E1" w:rsidRDefault="002718E1" w:rsidP="002718E1">
      <w:pPr>
        <w:pStyle w:val="Prrafodelista"/>
        <w:ind w:left="1429"/>
        <w:jc w:val="both"/>
        <w:rPr>
          <w:rFonts w:ascii="Helvetica" w:hAnsi="Helvetica" w:cs="Helvetica"/>
          <w:lang w:val="es-MX"/>
        </w:rPr>
      </w:pPr>
    </w:p>
    <w:p w14:paraId="436ABF1D" w14:textId="4FA9C4B0" w:rsidR="002718E1" w:rsidRPr="00824BCE" w:rsidRDefault="002718E1" w:rsidP="002718E1">
      <w:pPr>
        <w:pStyle w:val="Prrafodelista"/>
        <w:numPr>
          <w:ilvl w:val="1"/>
          <w:numId w:val="2"/>
        </w:numPr>
        <w:jc w:val="both"/>
        <w:rPr>
          <w:rFonts w:ascii="Helvetica" w:hAnsi="Helvetica" w:cs="Helvetica"/>
          <w:b/>
          <w:bCs/>
          <w:lang w:val="es-MX"/>
        </w:rPr>
      </w:pPr>
      <w:r w:rsidRPr="00824BCE">
        <w:rPr>
          <w:rFonts w:ascii="Helvetica" w:hAnsi="Helvetica" w:cs="Helvetica"/>
          <w:b/>
          <w:bCs/>
          <w:lang w:val="es-MX"/>
        </w:rPr>
        <w:t>Monitoreo</w:t>
      </w:r>
    </w:p>
    <w:p w14:paraId="1062CEFE" w14:textId="3CB782ED" w:rsidR="002718E1" w:rsidRPr="00824BCE" w:rsidRDefault="002718E1" w:rsidP="00824BCE">
      <w:pPr>
        <w:ind w:left="1416"/>
        <w:jc w:val="both"/>
        <w:rPr>
          <w:rFonts w:ascii="Helvetica" w:hAnsi="Helvetica" w:cs="Helvetica"/>
          <w:lang w:val="es-MX"/>
        </w:rPr>
      </w:pPr>
      <w:r>
        <w:rPr>
          <w:rFonts w:ascii="Helvetica" w:hAnsi="Helvetica" w:cs="Helvetica"/>
          <w:lang w:val="es-MX"/>
        </w:rPr>
        <w:t>El monitoreo del cumplimiento de los deberes del presente Código estará a cargo en el ámbito regional, de las GERCETUR o DIRCETUR; y, en el ámbito de Lima Metropolitana a cargo de la Dirección General de Políticas de Desarrollo Turístico del MINCETUR.</w:t>
      </w:r>
    </w:p>
    <w:p w14:paraId="0A101F23" w14:textId="27F8BC4D" w:rsidR="002718E1" w:rsidRPr="00824BCE" w:rsidRDefault="002718E1" w:rsidP="002718E1">
      <w:pPr>
        <w:pStyle w:val="Prrafodelista"/>
        <w:numPr>
          <w:ilvl w:val="0"/>
          <w:numId w:val="2"/>
        </w:numPr>
        <w:ind w:left="709"/>
        <w:jc w:val="both"/>
        <w:rPr>
          <w:rFonts w:ascii="Helvetica" w:hAnsi="Helvetica" w:cs="Helvetica"/>
          <w:b/>
          <w:bCs/>
          <w:lang w:val="es-MX"/>
        </w:rPr>
      </w:pPr>
      <w:r w:rsidRPr="00824BCE">
        <w:rPr>
          <w:rFonts w:ascii="Helvetica" w:hAnsi="Helvetica" w:cs="Helvetica"/>
          <w:b/>
          <w:bCs/>
          <w:lang w:val="es-MX"/>
        </w:rPr>
        <w:t>INCUMPLIMIENTO</w:t>
      </w:r>
    </w:p>
    <w:p w14:paraId="576D774A" w14:textId="2839A747" w:rsidR="002718E1" w:rsidRDefault="002718E1" w:rsidP="002718E1">
      <w:pPr>
        <w:ind w:left="708"/>
        <w:jc w:val="both"/>
        <w:rPr>
          <w:rFonts w:ascii="Helvetica" w:hAnsi="Helvetica" w:cs="Helvetica"/>
          <w:lang w:val="es-MX"/>
        </w:rPr>
      </w:pPr>
      <w:r>
        <w:rPr>
          <w:rFonts w:ascii="Helvetica" w:hAnsi="Helvetica" w:cs="Helvetica"/>
          <w:lang w:val="es-MX"/>
        </w:rPr>
        <w:t>El incumplimiento de las disposiciones del presente Código será sancionado en la vía administrativa, según corresponda, conforme a la normativa legal vigente.</w:t>
      </w:r>
    </w:p>
    <w:p w14:paraId="2A4F889E" w14:textId="21C64F3E" w:rsidR="002718E1" w:rsidRPr="002718E1" w:rsidRDefault="002718E1" w:rsidP="002718E1">
      <w:pPr>
        <w:ind w:left="708"/>
        <w:jc w:val="both"/>
        <w:rPr>
          <w:rFonts w:ascii="Helvetica" w:hAnsi="Helvetica" w:cs="Helvetica"/>
          <w:lang w:val="es-MX"/>
        </w:rPr>
      </w:pPr>
      <w:r>
        <w:rPr>
          <w:rFonts w:ascii="Helvetica" w:hAnsi="Helvetica" w:cs="Helvetica"/>
          <w:lang w:val="es-MX"/>
        </w:rPr>
        <w:t xml:space="preserve">Las sanciones administrativas que se puedan aplicar no eximen al prestador de servicios turísticos de la responsabilidad penal a que diere lugar, de acuerdo con lo establecido en el Código Penal Peruano. </w:t>
      </w:r>
    </w:p>
    <w:sectPr w:rsidR="002718E1" w:rsidRPr="002718E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BA71" w14:textId="77777777" w:rsidR="002B2CB5" w:rsidRDefault="002B2CB5" w:rsidP="003E460D">
      <w:pPr>
        <w:spacing w:after="0" w:line="240" w:lineRule="auto"/>
      </w:pPr>
      <w:r>
        <w:separator/>
      </w:r>
    </w:p>
  </w:endnote>
  <w:endnote w:type="continuationSeparator" w:id="0">
    <w:p w14:paraId="15DFEBB7" w14:textId="77777777" w:rsidR="002B2CB5" w:rsidRDefault="002B2CB5" w:rsidP="003E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16"/>
        <w:szCs w:val="16"/>
      </w:rPr>
      <w:id w:val="-1443751775"/>
      <w:docPartObj>
        <w:docPartGallery w:val="Page Numbers (Bottom of Page)"/>
        <w:docPartUnique/>
      </w:docPartObj>
    </w:sdtPr>
    <w:sdtEndPr>
      <w:rPr>
        <w:noProof/>
      </w:rPr>
    </w:sdtEndPr>
    <w:sdtContent>
      <w:p w14:paraId="70E9633A" w14:textId="01D49F8E" w:rsidR="003E460D" w:rsidRPr="003E460D" w:rsidRDefault="003E460D">
        <w:pPr>
          <w:pStyle w:val="Piedepgina"/>
          <w:jc w:val="right"/>
          <w:rPr>
            <w:rFonts w:ascii="Helvetica" w:hAnsi="Helvetica" w:cs="Helvetica"/>
            <w:sz w:val="16"/>
            <w:szCs w:val="16"/>
          </w:rPr>
        </w:pPr>
        <w:r w:rsidRPr="003E460D">
          <w:rPr>
            <w:rFonts w:ascii="Helvetica" w:hAnsi="Helvetica" w:cs="Helvetica"/>
            <w:sz w:val="16"/>
            <w:szCs w:val="16"/>
          </w:rPr>
          <w:fldChar w:fldCharType="begin"/>
        </w:r>
        <w:r w:rsidRPr="003E460D">
          <w:rPr>
            <w:rFonts w:ascii="Helvetica" w:hAnsi="Helvetica" w:cs="Helvetica"/>
            <w:sz w:val="16"/>
            <w:szCs w:val="16"/>
          </w:rPr>
          <w:instrText xml:space="preserve"> PAGE   \* MERGEFORMAT </w:instrText>
        </w:r>
        <w:r w:rsidRPr="003E460D">
          <w:rPr>
            <w:rFonts w:ascii="Helvetica" w:hAnsi="Helvetica" w:cs="Helvetica"/>
            <w:sz w:val="16"/>
            <w:szCs w:val="16"/>
          </w:rPr>
          <w:fldChar w:fldCharType="separate"/>
        </w:r>
        <w:r w:rsidRPr="003E460D">
          <w:rPr>
            <w:rFonts w:ascii="Helvetica" w:hAnsi="Helvetica" w:cs="Helvetica"/>
            <w:noProof/>
            <w:sz w:val="16"/>
            <w:szCs w:val="16"/>
          </w:rPr>
          <w:t>2</w:t>
        </w:r>
        <w:r w:rsidRPr="003E460D">
          <w:rPr>
            <w:rFonts w:ascii="Helvetica" w:hAnsi="Helvetica" w:cs="Helvetica"/>
            <w:noProof/>
            <w:sz w:val="16"/>
            <w:szCs w:val="16"/>
          </w:rPr>
          <w:fldChar w:fldCharType="end"/>
        </w:r>
      </w:p>
    </w:sdtContent>
  </w:sdt>
  <w:p w14:paraId="06133D55" w14:textId="77777777" w:rsidR="003E460D" w:rsidRDefault="003E46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AE5C" w14:textId="77777777" w:rsidR="002B2CB5" w:rsidRDefault="002B2CB5" w:rsidP="003E460D">
      <w:pPr>
        <w:spacing w:after="0" w:line="240" w:lineRule="auto"/>
      </w:pPr>
      <w:r>
        <w:separator/>
      </w:r>
    </w:p>
  </w:footnote>
  <w:footnote w:type="continuationSeparator" w:id="0">
    <w:p w14:paraId="5AE5815D" w14:textId="77777777" w:rsidR="002B2CB5" w:rsidRDefault="002B2CB5" w:rsidP="003E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D4C"/>
    <w:multiLevelType w:val="hybridMultilevel"/>
    <w:tmpl w:val="F6A24EDA"/>
    <w:lvl w:ilvl="0" w:tplc="D8F82E06">
      <w:start w:val="1"/>
      <w:numFmt w:val="upp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 w15:restartNumberingAfterBreak="0">
    <w:nsid w:val="2163017E"/>
    <w:multiLevelType w:val="hybridMultilevel"/>
    <w:tmpl w:val="E06E6934"/>
    <w:lvl w:ilvl="0" w:tplc="17ECF962">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 w15:restartNumberingAfterBreak="0">
    <w:nsid w:val="57C207E9"/>
    <w:multiLevelType w:val="multilevel"/>
    <w:tmpl w:val="60A40A5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6ED66079"/>
    <w:multiLevelType w:val="hybridMultilevel"/>
    <w:tmpl w:val="C7A4586A"/>
    <w:lvl w:ilvl="0" w:tplc="183611C4">
      <w:start w:val="8"/>
      <w:numFmt w:val="bullet"/>
      <w:lvlText w:val="-"/>
      <w:lvlJc w:val="left"/>
      <w:pPr>
        <w:ind w:left="720" w:hanging="360"/>
      </w:pPr>
      <w:rPr>
        <w:rFonts w:ascii="Helvetica" w:eastAsiaTheme="minorHAnsi" w:hAnsi="Helvetica" w:cs="Helvetic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0184862">
    <w:abstractNumId w:val="3"/>
  </w:num>
  <w:num w:numId="2" w16cid:durableId="959997766">
    <w:abstractNumId w:val="2"/>
  </w:num>
  <w:num w:numId="3" w16cid:durableId="400064239">
    <w:abstractNumId w:val="0"/>
  </w:num>
  <w:num w:numId="4" w16cid:durableId="197764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1D"/>
    <w:rsid w:val="0007751D"/>
    <w:rsid w:val="0015358A"/>
    <w:rsid w:val="002718E1"/>
    <w:rsid w:val="002774C9"/>
    <w:rsid w:val="002B25D4"/>
    <w:rsid w:val="002B2CB5"/>
    <w:rsid w:val="003437FD"/>
    <w:rsid w:val="003E460D"/>
    <w:rsid w:val="00824BCE"/>
    <w:rsid w:val="00B30D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66C"/>
  <w15:chartTrackingRefBased/>
  <w15:docId w15:val="{982465DB-D097-42BB-A3C4-A3154BA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51D"/>
    <w:pPr>
      <w:ind w:left="720"/>
      <w:contextualSpacing/>
    </w:pPr>
  </w:style>
  <w:style w:type="paragraph" w:styleId="Encabezado">
    <w:name w:val="header"/>
    <w:basedOn w:val="Normal"/>
    <w:link w:val="EncabezadoCar"/>
    <w:uiPriority w:val="99"/>
    <w:unhideWhenUsed/>
    <w:rsid w:val="003E4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460D"/>
  </w:style>
  <w:style w:type="paragraph" w:styleId="Piedepgina">
    <w:name w:val="footer"/>
    <w:basedOn w:val="Normal"/>
    <w:link w:val="PiedepginaCar"/>
    <w:uiPriority w:val="99"/>
    <w:unhideWhenUsed/>
    <w:rsid w:val="003E4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Galup</dc:creator>
  <cp:keywords/>
  <dc:description/>
  <cp:lastModifiedBy>Juan Miguel</cp:lastModifiedBy>
  <cp:revision>2</cp:revision>
  <dcterms:created xsi:type="dcterms:W3CDTF">2025-10-16T01:14:00Z</dcterms:created>
  <dcterms:modified xsi:type="dcterms:W3CDTF">2025-10-16T01:14:00Z</dcterms:modified>
</cp:coreProperties>
</file>