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1F59" w14:textId="56A643DA" w:rsidR="003437FD" w:rsidRPr="004F510E" w:rsidRDefault="0007751D" w:rsidP="0007751D">
      <w:pPr>
        <w:jc w:val="center"/>
        <w:rPr>
          <w:rFonts w:ascii="Helvetica" w:hAnsi="Helvetica" w:cs="Helvetica"/>
          <w:b/>
          <w:bCs/>
          <w:lang w:val="en-US"/>
        </w:rPr>
      </w:pPr>
      <w:r w:rsidRPr="004F510E">
        <w:rPr>
          <w:rFonts w:ascii="Helvetica" w:hAnsi="Helvetica" w:cs="Helvetica"/>
          <w:b/>
          <w:bCs/>
          <w:lang w:val="en-US"/>
        </w:rPr>
        <w:t>CODE OF CONDUCT AGAINST THE SEXUAL EXPLOITATION OF GIRLS, BOYS AND ADOLESCENTS (ESNNA) IN THE FIELD OF TOURISM, FOR TOURISM SERVICE PROVIDERS.</w:t>
      </w:r>
    </w:p>
    <w:p w14:paraId="3DB50FC1" w14:textId="77777777" w:rsidR="0007751D" w:rsidRPr="004F510E" w:rsidRDefault="0007751D" w:rsidP="0007751D">
      <w:pPr>
        <w:rPr>
          <w:rFonts w:ascii="Helvetica" w:hAnsi="Helvetica" w:cs="Helvetica"/>
          <w:b/>
          <w:bCs/>
          <w:lang w:val="en-US"/>
        </w:rPr>
      </w:pPr>
    </w:p>
    <w:p w14:paraId="02C146A6" w14:textId="76588A0D" w:rsidR="0007751D" w:rsidRPr="004F510E" w:rsidRDefault="0007751D" w:rsidP="0007751D">
      <w:pPr>
        <w:rPr>
          <w:rFonts w:ascii="Helvetica" w:hAnsi="Helvetica" w:cs="Helvetica"/>
          <w:b/>
          <w:bCs/>
          <w:lang w:val="en-US"/>
        </w:rPr>
      </w:pPr>
      <w:r w:rsidRPr="004F510E">
        <w:rPr>
          <w:rFonts w:ascii="Helvetica" w:hAnsi="Helvetica" w:cs="Helvetica"/>
          <w:b/>
          <w:bCs/>
          <w:lang w:val="en-US"/>
        </w:rPr>
        <w:t>PREAMBLE</w:t>
      </w:r>
    </w:p>
    <w:p w14:paraId="65F45334" w14:textId="2DB014D9" w:rsidR="0007751D" w:rsidRPr="004F510E" w:rsidRDefault="0007751D" w:rsidP="0007751D">
      <w:pPr>
        <w:jc w:val="both"/>
        <w:rPr>
          <w:rFonts w:ascii="Helvetica" w:hAnsi="Helvetica" w:cs="Helvetica"/>
          <w:lang w:val="en-US"/>
        </w:rPr>
      </w:pPr>
      <w:r w:rsidRPr="004F510E">
        <w:rPr>
          <w:rFonts w:ascii="Helvetica" w:hAnsi="Helvetica" w:cs="Helvetica"/>
          <w:lang w:val="en-US"/>
        </w:rPr>
        <w:t>The Ministry of Foreign Trade and Tourism (MINCETUR) is the governing body of tourism, responsible for promoting, guiding, and regulating it, with the goal of fostering its sustainable development.</w:t>
      </w:r>
    </w:p>
    <w:p w14:paraId="6B9BA6EE" w14:textId="77ECE511" w:rsidR="0007751D" w:rsidRPr="004F510E" w:rsidRDefault="0007751D" w:rsidP="0007751D">
      <w:pPr>
        <w:jc w:val="both"/>
        <w:rPr>
          <w:rFonts w:ascii="Helvetica" w:hAnsi="Helvetica" w:cs="Helvetica"/>
          <w:lang w:val="en-US"/>
        </w:rPr>
      </w:pPr>
      <w:r w:rsidRPr="004F510E">
        <w:rPr>
          <w:rFonts w:ascii="Helvetica" w:hAnsi="Helvetica" w:cs="Helvetica"/>
          <w:lang w:val="en-US"/>
        </w:rPr>
        <w:t>Law No. 29408, the General Tourism Law, establishes in Article 3 the principles of tourism activity that must be applied by public administration entities and tourism service providers.</w:t>
      </w:r>
    </w:p>
    <w:p w14:paraId="25106137" w14:textId="5A28F76C" w:rsidR="0007751D" w:rsidRPr="004F510E" w:rsidRDefault="0007751D" w:rsidP="0007751D">
      <w:pPr>
        <w:jc w:val="both"/>
        <w:rPr>
          <w:rFonts w:ascii="Helvetica" w:hAnsi="Helvetica" w:cs="Helvetica"/>
          <w:lang w:val="en-US"/>
        </w:rPr>
      </w:pPr>
      <w:r w:rsidRPr="004F510E">
        <w:rPr>
          <w:rFonts w:ascii="Helvetica" w:hAnsi="Helvetica" w:cs="Helvetica"/>
          <w:lang w:val="en-US"/>
        </w:rPr>
        <w:t xml:space="preserve">Pursuant to Article 44 of the </w:t>
      </w:r>
      <w:proofErr w:type="gramStart"/>
      <w:r w:rsidRPr="004F510E">
        <w:rPr>
          <w:rFonts w:ascii="Helvetica" w:hAnsi="Helvetica" w:cs="Helvetica"/>
          <w:lang w:val="en-US"/>
        </w:rPr>
        <w:t>aforementioned Law</w:t>
      </w:r>
      <w:proofErr w:type="gramEnd"/>
      <w:r w:rsidRPr="004F510E">
        <w:rPr>
          <w:rFonts w:ascii="Helvetica" w:hAnsi="Helvetica" w:cs="Helvetica"/>
          <w:lang w:val="en-US"/>
        </w:rPr>
        <w:t>, MINCETUR is responsible for coordinating, formulating, and proposing the issuance of regulations required to prevent and combat the Commercial Sexual Exploitation of Children and Adolescents (CSEC) in the tourism sector. It also develops and implements, in coordination with the Ministry of Women and Vulnerable Populations and the relevant sectors, national-level programs and projects related to this issue.</w:t>
      </w:r>
    </w:p>
    <w:p w14:paraId="2FBFC6FA" w14:textId="53CA9063" w:rsidR="0007751D" w:rsidRPr="004F510E" w:rsidRDefault="0007751D" w:rsidP="0007751D">
      <w:pPr>
        <w:jc w:val="both"/>
        <w:rPr>
          <w:rFonts w:ascii="Helvetica" w:hAnsi="Helvetica" w:cs="Helvetica"/>
          <w:lang w:val="en-US"/>
        </w:rPr>
      </w:pPr>
      <w:r w:rsidRPr="004F510E">
        <w:rPr>
          <w:rFonts w:ascii="Helvetica" w:hAnsi="Helvetica" w:cs="Helvetica"/>
          <w:lang w:val="en-US"/>
        </w:rPr>
        <w:t>The same article states that regional and local governments are required to adopt measures to prevent sexual and reproductive health</w:t>
      </w:r>
      <w:r w:rsidR="004F510E" w:rsidRPr="004F510E">
        <w:rPr>
          <w:rFonts w:ascii="Helvetica" w:hAnsi="Helvetica" w:cs="Helvetica"/>
          <w:lang w:val="en-US"/>
        </w:rPr>
        <w:t xml:space="preserve"> exploitation</w:t>
      </w:r>
      <w:r w:rsidRPr="004F510E">
        <w:rPr>
          <w:rFonts w:ascii="Helvetica" w:hAnsi="Helvetica" w:cs="Helvetica"/>
          <w:lang w:val="en-US"/>
        </w:rPr>
        <w:t xml:space="preserve"> in the tourism sector within their respective territorial jurisdictions.</w:t>
      </w:r>
    </w:p>
    <w:p w14:paraId="75C898AB" w14:textId="77777777" w:rsidR="0007751D" w:rsidRPr="004F510E" w:rsidRDefault="0007751D" w:rsidP="0007751D">
      <w:pPr>
        <w:jc w:val="both"/>
        <w:rPr>
          <w:rFonts w:ascii="Helvetica" w:hAnsi="Helvetica" w:cs="Helvetica"/>
          <w:lang w:val="en-US"/>
        </w:rPr>
      </w:pPr>
      <w:r w:rsidRPr="004F510E">
        <w:rPr>
          <w:rFonts w:ascii="Helvetica" w:hAnsi="Helvetica" w:cs="Helvetica"/>
          <w:lang w:val="en-US"/>
        </w:rPr>
        <w:t>Within this framework, Article 41 of the Regulations of the General Tourism Law, approved by Supreme Decree No. 003-2010-MINCETUR, establishes that among the actions that regional governments can adopt to prevent sexual and reproductive health (SECN), is the signing of commitments or codes of conduct by tourism service providers and other stakeholders linked to tourism.</w:t>
      </w:r>
    </w:p>
    <w:p w14:paraId="0051E278" w14:textId="77777777" w:rsidR="0007751D" w:rsidRPr="004F510E" w:rsidRDefault="0007751D" w:rsidP="0007751D">
      <w:pPr>
        <w:jc w:val="both"/>
        <w:rPr>
          <w:rFonts w:ascii="Helvetica" w:hAnsi="Helvetica" w:cs="Helvetica"/>
          <w:lang w:val="en-US"/>
        </w:rPr>
      </w:pPr>
      <w:r w:rsidRPr="004F510E">
        <w:rPr>
          <w:rFonts w:ascii="Helvetica" w:hAnsi="Helvetica" w:cs="Helvetica"/>
          <w:lang w:val="en-US"/>
        </w:rPr>
        <w:t>In this regard, it is noted that the provision of tourism services constitutes one of the main components for the development of tourism products and destinations. In response, Article 43 of the General Tourism Law establishes the responsibility of service providers to communicate, disseminate, and publish the existence of regulations on the prevention and punishment of SEC in the tourism sector.</w:t>
      </w:r>
    </w:p>
    <w:p w14:paraId="43AA5214" w14:textId="77777777" w:rsidR="0007751D" w:rsidRPr="004F510E" w:rsidRDefault="0007751D" w:rsidP="0007751D">
      <w:pPr>
        <w:jc w:val="both"/>
        <w:rPr>
          <w:rFonts w:ascii="Helvetica" w:hAnsi="Helvetica" w:cs="Helvetica"/>
          <w:lang w:val="en-US"/>
        </w:rPr>
      </w:pPr>
      <w:r w:rsidRPr="004F510E">
        <w:rPr>
          <w:rFonts w:ascii="Helvetica" w:hAnsi="Helvetica" w:cs="Helvetica"/>
          <w:lang w:val="en-US"/>
        </w:rPr>
        <w:t xml:space="preserve">In this regard, it is necessary to establish a set of principles, conduct, and practices to prevent and combat SEC in the tourism sector, </w:t>
      </w:r>
      <w:proofErr w:type="gramStart"/>
      <w:r w:rsidRPr="004F510E">
        <w:rPr>
          <w:rFonts w:ascii="Helvetica" w:hAnsi="Helvetica" w:cs="Helvetica"/>
          <w:lang w:val="en-US"/>
        </w:rPr>
        <w:t>in order to</w:t>
      </w:r>
      <w:proofErr w:type="gramEnd"/>
      <w:r w:rsidRPr="004F510E">
        <w:rPr>
          <w:rFonts w:ascii="Helvetica" w:hAnsi="Helvetica" w:cs="Helvetica"/>
          <w:lang w:val="en-US"/>
        </w:rPr>
        <w:t xml:space="preserve"> contribute to the sustainable development of tourism in Peru.</w:t>
      </w:r>
    </w:p>
    <w:p w14:paraId="195C51B3" w14:textId="21C8E355" w:rsidR="0007751D" w:rsidRPr="004F510E" w:rsidRDefault="0007751D" w:rsidP="0007751D">
      <w:pPr>
        <w:jc w:val="both"/>
        <w:rPr>
          <w:rFonts w:ascii="Helvetica" w:hAnsi="Helvetica" w:cs="Helvetica"/>
          <w:lang w:val="en-US"/>
        </w:rPr>
      </w:pPr>
      <w:r w:rsidRPr="004F510E">
        <w:rPr>
          <w:rFonts w:ascii="Helvetica" w:hAnsi="Helvetica" w:cs="Helvetica"/>
          <w:lang w:val="en-US"/>
        </w:rPr>
        <w:t>Therefore, the principles developed in the Code of Conduct against SEC in the field of tourism are established for tourism service providers, referring specifically to the legal instruments listed below:</w:t>
      </w:r>
    </w:p>
    <w:p w14:paraId="72A1A22B" w14:textId="7DBAAEF4" w:rsidR="0007751D"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 xml:space="preserve">Law No. 30812, Law establishing conditions for the admission of girls, </w:t>
      </w:r>
      <w:proofErr w:type="gramStart"/>
      <w:r w:rsidRPr="004F510E">
        <w:rPr>
          <w:rFonts w:ascii="Helvetica" w:hAnsi="Helvetica" w:cs="Helvetica"/>
          <w:lang w:val="en-US"/>
        </w:rPr>
        <w:t>boys</w:t>
      </w:r>
      <w:proofErr w:type="gramEnd"/>
      <w:r w:rsidRPr="004F510E">
        <w:rPr>
          <w:rFonts w:ascii="Helvetica" w:hAnsi="Helvetica" w:cs="Helvetica"/>
          <w:lang w:val="en-US"/>
        </w:rPr>
        <w:t xml:space="preserve"> and adolescents to lodging establishments in order to guarantee their protection and integrity.</w:t>
      </w:r>
    </w:p>
    <w:p w14:paraId="3401795B" w14:textId="327C9999" w:rsidR="0007751D"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Law No. 30362, Law that elevates Supreme Decree No. 001-2012-MIMP to the rank of Law and declares the allocation of public resources to guarantee compliance with the National Action Plan for Children and Adolescents (PNAIA) 2012-2021, and any plans that replace it, to be of national interest and of priority attention.</w:t>
      </w:r>
    </w:p>
    <w:p w14:paraId="0DCE7427" w14:textId="4D0975EA" w:rsidR="0007751D"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lastRenderedPageBreak/>
        <w:t>Law No. 29408, General Tourism Law.</w:t>
      </w:r>
    </w:p>
    <w:p w14:paraId="5A645DE9" w14:textId="0F80B7A0" w:rsidR="0007751D"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 xml:space="preserve">Law No. 28868, Law that empowers MINCETUR to classify violations through regulations </w:t>
      </w:r>
      <w:proofErr w:type="gramStart"/>
      <w:r w:rsidRPr="004F510E">
        <w:rPr>
          <w:rFonts w:ascii="Helvetica" w:hAnsi="Helvetica" w:cs="Helvetica"/>
          <w:lang w:val="en-US"/>
        </w:rPr>
        <w:t>in the area of</w:t>
      </w:r>
      <w:proofErr w:type="gramEnd"/>
      <w:r w:rsidRPr="004F510E">
        <w:rPr>
          <w:rFonts w:ascii="Helvetica" w:hAnsi="Helvetica" w:cs="Helvetica"/>
          <w:lang w:val="en-US"/>
        </w:rPr>
        <w:t xml:space="preserve"> providing tourism services and rating lodging establishments and establishes applicable sanctions.</w:t>
      </w:r>
    </w:p>
    <w:p w14:paraId="2729B848" w14:textId="38419D00" w:rsidR="0007751D"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Law No. 27337, which approves the New Code for Children and Adolescents.</w:t>
      </w:r>
    </w:p>
    <w:p w14:paraId="5C2D67FE" w14:textId="640E201C" w:rsidR="002718E1" w:rsidRPr="004F510E" w:rsidRDefault="0007751D"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Supreme Decree No. 003-2010-MINCETUR, which approves the Regulations of the General Tourism Law.</w:t>
      </w:r>
    </w:p>
    <w:p w14:paraId="108CD56C" w14:textId="77777777" w:rsidR="002718E1" w:rsidRPr="004F510E" w:rsidRDefault="002718E1"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Convention on the Rights of the Child, approved as an international human rights treaty.</w:t>
      </w:r>
    </w:p>
    <w:p w14:paraId="16CE8008" w14:textId="0CEA55D2" w:rsidR="0007751D" w:rsidRPr="004F510E" w:rsidRDefault="002718E1" w:rsidP="0007751D">
      <w:pPr>
        <w:pStyle w:val="ListParagraph"/>
        <w:numPr>
          <w:ilvl w:val="0"/>
          <w:numId w:val="1"/>
        </w:numPr>
        <w:jc w:val="both"/>
        <w:rPr>
          <w:rFonts w:ascii="Helvetica" w:hAnsi="Helvetica" w:cs="Helvetica"/>
          <w:lang w:val="en-US"/>
        </w:rPr>
      </w:pPr>
      <w:r w:rsidRPr="004F510E">
        <w:rPr>
          <w:rFonts w:ascii="Helvetica" w:hAnsi="Helvetica" w:cs="Helvetica"/>
          <w:lang w:val="en-US"/>
        </w:rPr>
        <w:t>Global Code of Ethics for Tourism of the World Tourism Organization, approved by the General Assembly of the World Tourism Organization.</w:t>
      </w:r>
    </w:p>
    <w:p w14:paraId="1797D56A" w14:textId="0FD77EF1" w:rsidR="002718E1" w:rsidRPr="004F510E" w:rsidRDefault="002718E1" w:rsidP="002718E1">
      <w:pPr>
        <w:pStyle w:val="ListParagraph"/>
        <w:ind w:left="1080"/>
        <w:jc w:val="both"/>
        <w:rPr>
          <w:rFonts w:ascii="Helvetica" w:hAnsi="Helvetica" w:cs="Helvetica"/>
          <w:lang w:val="en-US"/>
        </w:rPr>
      </w:pPr>
    </w:p>
    <w:p w14:paraId="2F390673" w14:textId="26D4B1A1" w:rsidR="002718E1" w:rsidRPr="004F510E" w:rsidRDefault="004F510E" w:rsidP="002718E1">
      <w:pPr>
        <w:pStyle w:val="ListParagraph"/>
        <w:numPr>
          <w:ilvl w:val="0"/>
          <w:numId w:val="2"/>
        </w:numPr>
        <w:ind w:left="709"/>
        <w:jc w:val="both"/>
        <w:rPr>
          <w:rFonts w:ascii="Helvetica" w:hAnsi="Helvetica" w:cs="Helvetica"/>
          <w:b/>
          <w:bCs/>
          <w:lang w:val="en-US"/>
        </w:rPr>
      </w:pPr>
      <w:r>
        <w:rPr>
          <w:rFonts w:ascii="Helvetica" w:hAnsi="Helvetica" w:cs="Helvetica"/>
          <w:b/>
          <w:bCs/>
          <w:lang w:val="en-US"/>
        </w:rPr>
        <w:t>OBJECTIVE</w:t>
      </w:r>
    </w:p>
    <w:p w14:paraId="244E4B3E" w14:textId="77777777" w:rsidR="002718E1" w:rsidRPr="004F510E" w:rsidRDefault="002718E1" w:rsidP="002718E1">
      <w:pPr>
        <w:pStyle w:val="ListParagraph"/>
        <w:ind w:left="709"/>
        <w:jc w:val="both"/>
        <w:rPr>
          <w:rFonts w:ascii="Helvetica" w:hAnsi="Helvetica" w:cs="Helvetica"/>
          <w:lang w:val="en-US"/>
        </w:rPr>
      </w:pPr>
    </w:p>
    <w:p w14:paraId="162DF508" w14:textId="0C633625" w:rsidR="002718E1" w:rsidRPr="004F510E" w:rsidRDefault="002718E1" w:rsidP="002718E1">
      <w:pPr>
        <w:pStyle w:val="ListParagraph"/>
        <w:ind w:left="709"/>
        <w:jc w:val="both"/>
        <w:rPr>
          <w:rFonts w:ascii="Helvetica" w:hAnsi="Helvetica" w:cs="Helvetica"/>
          <w:lang w:val="en-US"/>
        </w:rPr>
      </w:pPr>
      <w:r w:rsidRPr="004F510E">
        <w:rPr>
          <w:rFonts w:ascii="Helvetica" w:hAnsi="Helvetica" w:cs="Helvetica"/>
          <w:lang w:val="en-US"/>
        </w:rPr>
        <w:t xml:space="preserve">The Code of Conduct aims to establish the foundations for responsible behavior, as well as reaffirm the principles, duties, and general standards that tourism service providers and their employees must know and comply with </w:t>
      </w:r>
      <w:proofErr w:type="gramStart"/>
      <w:r w:rsidRPr="004F510E">
        <w:rPr>
          <w:rFonts w:ascii="Helvetica" w:hAnsi="Helvetica" w:cs="Helvetica"/>
          <w:lang w:val="en-US"/>
        </w:rPr>
        <w:t>in order to</w:t>
      </w:r>
      <w:proofErr w:type="gramEnd"/>
      <w:r w:rsidRPr="004F510E">
        <w:rPr>
          <w:rFonts w:ascii="Helvetica" w:hAnsi="Helvetica" w:cs="Helvetica"/>
          <w:lang w:val="en-US"/>
        </w:rPr>
        <w:t xml:space="preserve"> prevent sexual and reproductive health and safety in the performance of their activities.</w:t>
      </w:r>
    </w:p>
    <w:p w14:paraId="69912BFD" w14:textId="77777777" w:rsidR="002718E1" w:rsidRPr="004F510E" w:rsidRDefault="002718E1" w:rsidP="002718E1">
      <w:pPr>
        <w:pStyle w:val="ListParagraph"/>
        <w:ind w:left="709"/>
        <w:jc w:val="both"/>
        <w:rPr>
          <w:rFonts w:ascii="Helvetica" w:hAnsi="Helvetica" w:cs="Helvetica"/>
          <w:lang w:val="en-US"/>
        </w:rPr>
      </w:pPr>
    </w:p>
    <w:p w14:paraId="2CF81263" w14:textId="07BB3F4F" w:rsidR="002718E1" w:rsidRPr="004F510E" w:rsidRDefault="002718E1" w:rsidP="002718E1">
      <w:pPr>
        <w:pStyle w:val="ListParagraph"/>
        <w:ind w:left="709"/>
        <w:jc w:val="both"/>
        <w:rPr>
          <w:rFonts w:ascii="Helvetica" w:hAnsi="Helvetica" w:cs="Helvetica"/>
          <w:lang w:val="en-US"/>
        </w:rPr>
      </w:pPr>
      <w:r w:rsidRPr="004F510E">
        <w:rPr>
          <w:rFonts w:ascii="Helvetica" w:hAnsi="Helvetica" w:cs="Helvetica"/>
          <w:lang w:val="en-US"/>
        </w:rPr>
        <w:t>In this context, it seeks to promote the private sector's commitment to combating the crime of sexual exploitation of minors, within the framework of the National Policy on Mandatory Child and Adolescent Protection.</w:t>
      </w:r>
    </w:p>
    <w:p w14:paraId="7D13F273" w14:textId="77777777" w:rsidR="002718E1" w:rsidRPr="004F510E" w:rsidRDefault="002718E1" w:rsidP="002718E1">
      <w:pPr>
        <w:pStyle w:val="ListParagraph"/>
        <w:ind w:left="709"/>
        <w:jc w:val="both"/>
        <w:rPr>
          <w:rFonts w:ascii="Helvetica" w:hAnsi="Helvetica" w:cs="Helvetica"/>
          <w:lang w:val="en-US"/>
        </w:rPr>
      </w:pPr>
    </w:p>
    <w:p w14:paraId="5132E08E" w14:textId="272FA444" w:rsidR="002718E1" w:rsidRPr="004F510E" w:rsidRDefault="002718E1" w:rsidP="002718E1">
      <w:pPr>
        <w:pStyle w:val="ListParagraph"/>
        <w:numPr>
          <w:ilvl w:val="0"/>
          <w:numId w:val="2"/>
        </w:numPr>
        <w:ind w:left="709"/>
        <w:jc w:val="both"/>
        <w:rPr>
          <w:rFonts w:ascii="Helvetica" w:hAnsi="Helvetica" w:cs="Helvetica"/>
          <w:b/>
          <w:bCs/>
          <w:lang w:val="en-US"/>
        </w:rPr>
      </w:pPr>
      <w:r w:rsidRPr="004F510E">
        <w:rPr>
          <w:rFonts w:ascii="Helvetica" w:hAnsi="Helvetica" w:cs="Helvetica"/>
          <w:b/>
          <w:bCs/>
          <w:lang w:val="en-US"/>
        </w:rPr>
        <w:t>SCOPE</w:t>
      </w:r>
    </w:p>
    <w:p w14:paraId="66ED356F" w14:textId="77777777" w:rsidR="002718E1" w:rsidRPr="004F510E" w:rsidRDefault="002718E1" w:rsidP="002718E1">
      <w:pPr>
        <w:pStyle w:val="ListParagraph"/>
        <w:ind w:left="709"/>
        <w:jc w:val="both"/>
        <w:rPr>
          <w:rFonts w:ascii="Helvetica" w:hAnsi="Helvetica" w:cs="Helvetica"/>
          <w:lang w:val="en-US"/>
        </w:rPr>
      </w:pPr>
    </w:p>
    <w:p w14:paraId="524B7203" w14:textId="2E191BC3" w:rsidR="002718E1" w:rsidRPr="004F510E" w:rsidRDefault="002718E1" w:rsidP="002718E1">
      <w:pPr>
        <w:pStyle w:val="ListParagraph"/>
        <w:ind w:left="709"/>
        <w:jc w:val="both"/>
        <w:rPr>
          <w:rFonts w:ascii="Helvetica" w:hAnsi="Helvetica" w:cs="Helvetica"/>
          <w:lang w:val="en-US"/>
        </w:rPr>
      </w:pPr>
      <w:r w:rsidRPr="004F510E">
        <w:rPr>
          <w:rFonts w:ascii="Helvetica" w:hAnsi="Helvetica" w:cs="Helvetica"/>
          <w:lang w:val="en-US"/>
        </w:rPr>
        <w:t xml:space="preserve">This Code is applicable to </w:t>
      </w:r>
      <w:proofErr w:type="spellStart"/>
      <w:r w:rsidRPr="004F510E">
        <w:rPr>
          <w:rFonts w:ascii="Helvetica" w:hAnsi="Helvetica" w:cs="Helvetica"/>
          <w:lang w:val="en-US"/>
        </w:rPr>
        <w:t>Inversiones</w:t>
      </w:r>
      <w:proofErr w:type="spellEnd"/>
      <w:r w:rsidRPr="004F510E">
        <w:rPr>
          <w:rFonts w:ascii="Helvetica" w:hAnsi="Helvetica" w:cs="Helvetica"/>
          <w:lang w:val="en-US"/>
        </w:rPr>
        <w:t xml:space="preserve"> </w:t>
      </w:r>
      <w:proofErr w:type="spellStart"/>
      <w:r w:rsidRPr="004F510E">
        <w:rPr>
          <w:rFonts w:ascii="Helvetica" w:hAnsi="Helvetica" w:cs="Helvetica"/>
          <w:lang w:val="en-US"/>
        </w:rPr>
        <w:t>Turísticas</w:t>
      </w:r>
      <w:proofErr w:type="spellEnd"/>
      <w:r w:rsidRPr="004F510E">
        <w:rPr>
          <w:rFonts w:ascii="Helvetica" w:hAnsi="Helvetica" w:cs="Helvetica"/>
          <w:lang w:val="en-US"/>
        </w:rPr>
        <w:t xml:space="preserve"> Gama SACS as a provider of tourism services included in Annex No. 1 of the General Tourism Law.</w:t>
      </w:r>
    </w:p>
    <w:p w14:paraId="4942FCA5" w14:textId="77777777" w:rsidR="002718E1" w:rsidRPr="004F510E" w:rsidRDefault="002718E1" w:rsidP="002718E1">
      <w:pPr>
        <w:pStyle w:val="ListParagraph"/>
        <w:ind w:left="709"/>
        <w:jc w:val="both"/>
        <w:rPr>
          <w:rFonts w:ascii="Helvetica" w:hAnsi="Helvetica" w:cs="Helvetica"/>
          <w:lang w:val="en-US"/>
        </w:rPr>
      </w:pPr>
    </w:p>
    <w:p w14:paraId="26BAD73C" w14:textId="4957D840" w:rsidR="002718E1" w:rsidRPr="004F510E" w:rsidRDefault="002718E1" w:rsidP="002718E1">
      <w:pPr>
        <w:pStyle w:val="ListParagraph"/>
        <w:numPr>
          <w:ilvl w:val="0"/>
          <w:numId w:val="2"/>
        </w:numPr>
        <w:ind w:left="709"/>
        <w:jc w:val="both"/>
        <w:rPr>
          <w:rFonts w:ascii="Helvetica" w:hAnsi="Helvetica" w:cs="Helvetica"/>
          <w:b/>
          <w:bCs/>
          <w:lang w:val="en-US"/>
        </w:rPr>
      </w:pPr>
      <w:r w:rsidRPr="004F510E">
        <w:rPr>
          <w:rFonts w:ascii="Helvetica" w:hAnsi="Helvetica" w:cs="Helvetica"/>
          <w:b/>
          <w:bCs/>
          <w:lang w:val="en-US"/>
        </w:rPr>
        <w:t>BEGINNING</w:t>
      </w:r>
    </w:p>
    <w:p w14:paraId="6B6A4291" w14:textId="77777777" w:rsidR="00824BCE" w:rsidRPr="004F510E" w:rsidRDefault="00824BCE" w:rsidP="00824BCE">
      <w:pPr>
        <w:pStyle w:val="ListParagraph"/>
        <w:ind w:left="709"/>
        <w:jc w:val="both"/>
        <w:rPr>
          <w:rFonts w:ascii="Helvetica" w:hAnsi="Helvetica" w:cs="Helvetica"/>
          <w:b/>
          <w:bCs/>
          <w:lang w:val="en-US"/>
        </w:rPr>
      </w:pPr>
    </w:p>
    <w:p w14:paraId="4F96D8BD" w14:textId="4F52EFDE" w:rsidR="00824BCE" w:rsidRPr="004F510E" w:rsidRDefault="00824BCE" w:rsidP="00824BCE">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t xml:space="preserve">The best interests of girls, </w:t>
      </w:r>
      <w:proofErr w:type="gramStart"/>
      <w:r w:rsidRPr="004F510E">
        <w:rPr>
          <w:rFonts w:ascii="Helvetica" w:hAnsi="Helvetica" w:cs="Helvetica"/>
          <w:b/>
          <w:bCs/>
          <w:lang w:val="en-US"/>
        </w:rPr>
        <w:t>boys</w:t>
      </w:r>
      <w:proofErr w:type="gramEnd"/>
      <w:r w:rsidRPr="004F510E">
        <w:rPr>
          <w:rFonts w:ascii="Helvetica" w:hAnsi="Helvetica" w:cs="Helvetica"/>
          <w:b/>
          <w:bCs/>
          <w:lang w:val="en-US"/>
        </w:rPr>
        <w:t xml:space="preserve"> and adolescents</w:t>
      </w:r>
    </w:p>
    <w:p w14:paraId="66AAF512" w14:textId="77777777" w:rsidR="003E460D" w:rsidRPr="004F510E" w:rsidRDefault="003E460D" w:rsidP="003E460D">
      <w:pPr>
        <w:pStyle w:val="ListParagraph"/>
        <w:ind w:left="1429"/>
        <w:jc w:val="both"/>
        <w:rPr>
          <w:rFonts w:ascii="Helvetica" w:hAnsi="Helvetica" w:cs="Helvetica"/>
          <w:b/>
          <w:bCs/>
          <w:lang w:val="en-US"/>
        </w:rPr>
      </w:pPr>
    </w:p>
    <w:p w14:paraId="5D3CED0E" w14:textId="0C822486" w:rsidR="003E460D" w:rsidRPr="004F510E" w:rsidRDefault="003E460D" w:rsidP="003E460D">
      <w:pPr>
        <w:pStyle w:val="ListParagraph"/>
        <w:ind w:left="1429"/>
        <w:jc w:val="both"/>
        <w:rPr>
          <w:rFonts w:ascii="Helvetica" w:hAnsi="Helvetica" w:cs="Helvetica"/>
          <w:lang w:val="en-US"/>
        </w:rPr>
      </w:pPr>
      <w:r w:rsidRPr="004F510E">
        <w:rPr>
          <w:rFonts w:ascii="Helvetica" w:hAnsi="Helvetica" w:cs="Helvetica"/>
          <w:lang w:val="en-US"/>
        </w:rPr>
        <w:t>Children and adolescents are full subjects of rights that must be respected by the family, the State, and society. This principle obliges the State and society to recognize and guarantee the human rights of children and adolescents and gives precedence to the best interests of children and adolescents over other interests and considerations.</w:t>
      </w:r>
    </w:p>
    <w:p w14:paraId="2C0B613E" w14:textId="77777777" w:rsidR="003E460D" w:rsidRPr="004F510E" w:rsidRDefault="003E460D" w:rsidP="003E460D">
      <w:pPr>
        <w:pStyle w:val="ListParagraph"/>
        <w:ind w:left="1429"/>
        <w:jc w:val="both"/>
        <w:rPr>
          <w:rFonts w:ascii="Helvetica" w:hAnsi="Helvetica" w:cs="Helvetica"/>
          <w:b/>
          <w:bCs/>
          <w:lang w:val="en-US"/>
        </w:rPr>
      </w:pPr>
    </w:p>
    <w:p w14:paraId="26697FA5" w14:textId="104400FC" w:rsidR="003E460D" w:rsidRPr="004F510E" w:rsidRDefault="003E460D" w:rsidP="00824BCE">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t xml:space="preserve">Girls, </w:t>
      </w:r>
      <w:proofErr w:type="gramStart"/>
      <w:r w:rsidRPr="004F510E">
        <w:rPr>
          <w:rFonts w:ascii="Helvetica" w:hAnsi="Helvetica" w:cs="Helvetica"/>
          <w:b/>
          <w:bCs/>
          <w:lang w:val="en-US"/>
        </w:rPr>
        <w:t>boys</w:t>
      </w:r>
      <w:proofErr w:type="gramEnd"/>
      <w:r w:rsidRPr="004F510E">
        <w:rPr>
          <w:rFonts w:ascii="Helvetica" w:hAnsi="Helvetica" w:cs="Helvetica"/>
          <w:b/>
          <w:bCs/>
          <w:lang w:val="en-US"/>
        </w:rPr>
        <w:t xml:space="preserve"> and adolescents as subjects of law</w:t>
      </w:r>
    </w:p>
    <w:p w14:paraId="14C16F7A" w14:textId="77777777" w:rsidR="003E460D" w:rsidRPr="004F510E" w:rsidRDefault="003E460D" w:rsidP="003E460D">
      <w:pPr>
        <w:pStyle w:val="ListParagraph"/>
        <w:ind w:left="1429"/>
        <w:jc w:val="both"/>
        <w:rPr>
          <w:rFonts w:ascii="Helvetica" w:hAnsi="Helvetica" w:cs="Helvetica"/>
          <w:b/>
          <w:bCs/>
          <w:lang w:val="en-US"/>
        </w:rPr>
      </w:pPr>
    </w:p>
    <w:p w14:paraId="7A7BFA09" w14:textId="2A283913" w:rsidR="003E460D" w:rsidRPr="004F510E" w:rsidRDefault="003E460D" w:rsidP="003E460D">
      <w:pPr>
        <w:pStyle w:val="ListParagraph"/>
        <w:ind w:left="1429"/>
        <w:jc w:val="both"/>
        <w:rPr>
          <w:rFonts w:ascii="Helvetica" w:hAnsi="Helvetica" w:cs="Helvetica"/>
          <w:lang w:val="en-US"/>
        </w:rPr>
      </w:pPr>
      <w:r w:rsidRPr="004F510E">
        <w:rPr>
          <w:rFonts w:ascii="Helvetica" w:hAnsi="Helvetica" w:cs="Helvetica"/>
          <w:lang w:val="en-US"/>
        </w:rPr>
        <w:t>This principle emphasizes the status of children and adolescents as complete and separate human beings, possessing the potential to be developed and entitled to civil, political, economic, social, and cultural rights that must be recognized simply by virtue of their existence. In this sense, children and adolescents are not considered incapable of living, in accordance with the provisions of the National Action Plan for Children and Adolescents.</w:t>
      </w:r>
    </w:p>
    <w:p w14:paraId="4A9F8541" w14:textId="77777777" w:rsidR="003E460D" w:rsidRDefault="003E460D" w:rsidP="003E460D">
      <w:pPr>
        <w:pStyle w:val="ListParagraph"/>
        <w:ind w:left="1429"/>
        <w:jc w:val="both"/>
        <w:rPr>
          <w:rFonts w:ascii="Helvetica" w:hAnsi="Helvetica" w:cs="Helvetica"/>
          <w:b/>
          <w:bCs/>
          <w:lang w:val="en-US"/>
        </w:rPr>
      </w:pPr>
    </w:p>
    <w:p w14:paraId="03DDBAE5" w14:textId="77777777" w:rsidR="004F510E" w:rsidRDefault="004F510E" w:rsidP="003E460D">
      <w:pPr>
        <w:pStyle w:val="ListParagraph"/>
        <w:ind w:left="1429"/>
        <w:jc w:val="both"/>
        <w:rPr>
          <w:rFonts w:ascii="Helvetica" w:hAnsi="Helvetica" w:cs="Helvetica"/>
          <w:b/>
          <w:bCs/>
          <w:lang w:val="en-US"/>
        </w:rPr>
      </w:pPr>
    </w:p>
    <w:p w14:paraId="770B11FD" w14:textId="77777777" w:rsidR="004F510E" w:rsidRPr="004F510E" w:rsidRDefault="004F510E" w:rsidP="003E460D">
      <w:pPr>
        <w:pStyle w:val="ListParagraph"/>
        <w:ind w:left="1429"/>
        <w:jc w:val="both"/>
        <w:rPr>
          <w:rFonts w:ascii="Helvetica" w:hAnsi="Helvetica" w:cs="Helvetica"/>
          <w:b/>
          <w:bCs/>
          <w:lang w:val="en-US"/>
        </w:rPr>
      </w:pPr>
    </w:p>
    <w:p w14:paraId="49187F27" w14:textId="5862439F" w:rsidR="003E460D" w:rsidRPr="004F510E" w:rsidRDefault="003E460D" w:rsidP="00824BCE">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lastRenderedPageBreak/>
        <w:t>Sustainable development of tourism</w:t>
      </w:r>
    </w:p>
    <w:p w14:paraId="759BB9E4" w14:textId="615C47B3" w:rsidR="003E460D" w:rsidRPr="004F510E" w:rsidRDefault="003E460D" w:rsidP="003E460D">
      <w:pPr>
        <w:ind w:left="1416"/>
        <w:jc w:val="both"/>
        <w:rPr>
          <w:rFonts w:ascii="Helvetica" w:hAnsi="Helvetica" w:cs="Helvetica"/>
          <w:lang w:val="en-US"/>
        </w:rPr>
      </w:pPr>
      <w:r w:rsidRPr="004F510E">
        <w:rPr>
          <w:rFonts w:ascii="Helvetica" w:hAnsi="Helvetica" w:cs="Helvetica"/>
          <w:lang w:val="en-US"/>
        </w:rPr>
        <w:t>Tourism must improve the quality of life of local populations and strengthen their social, cultural, and economic development, on an equal footing. Therefore, for tourism to be sustainable, it must respect the environment, our culture, and human rights, especially those of children and adolescents. Therefore, we encourage the exchange of positive experiences between tourists and visitors, based on respect and equity.</w:t>
      </w:r>
    </w:p>
    <w:p w14:paraId="512DF849" w14:textId="77777777" w:rsidR="00824BCE" w:rsidRPr="004F510E" w:rsidRDefault="00824BCE" w:rsidP="00824BCE">
      <w:pPr>
        <w:pStyle w:val="ListParagraph"/>
        <w:ind w:left="1080"/>
        <w:jc w:val="both"/>
        <w:rPr>
          <w:rFonts w:ascii="Helvetica" w:hAnsi="Helvetica" w:cs="Helvetica"/>
          <w:b/>
          <w:bCs/>
          <w:lang w:val="en-US"/>
        </w:rPr>
      </w:pPr>
    </w:p>
    <w:p w14:paraId="5DD89B43" w14:textId="5315A027" w:rsidR="002718E1" w:rsidRPr="004F510E" w:rsidRDefault="004F510E" w:rsidP="002718E1">
      <w:pPr>
        <w:pStyle w:val="ListParagraph"/>
        <w:numPr>
          <w:ilvl w:val="0"/>
          <w:numId w:val="2"/>
        </w:numPr>
        <w:ind w:left="709"/>
        <w:jc w:val="both"/>
        <w:rPr>
          <w:rFonts w:ascii="Helvetica" w:hAnsi="Helvetica" w:cs="Helvetica"/>
          <w:b/>
          <w:bCs/>
          <w:lang w:val="en-US"/>
        </w:rPr>
      </w:pPr>
      <w:r>
        <w:rPr>
          <w:rFonts w:ascii="Helvetica" w:hAnsi="Helvetica" w:cs="Helvetica"/>
          <w:b/>
          <w:bCs/>
          <w:lang w:val="en-US"/>
        </w:rPr>
        <w:t>OBLIGATIONS</w:t>
      </w:r>
    </w:p>
    <w:p w14:paraId="0C77297E" w14:textId="77777777" w:rsidR="002718E1" w:rsidRPr="004F510E" w:rsidRDefault="002718E1" w:rsidP="002718E1">
      <w:pPr>
        <w:pStyle w:val="ListParagraph"/>
        <w:ind w:left="709"/>
        <w:jc w:val="both"/>
        <w:rPr>
          <w:rFonts w:ascii="Helvetica" w:hAnsi="Helvetica" w:cs="Helvetica"/>
          <w:lang w:val="en-US"/>
        </w:rPr>
      </w:pPr>
    </w:p>
    <w:p w14:paraId="6AF332DA" w14:textId="77777777" w:rsidR="003E460D" w:rsidRPr="004F510E" w:rsidRDefault="003E460D" w:rsidP="003E460D">
      <w:pPr>
        <w:pStyle w:val="ListParagraph"/>
        <w:ind w:left="709"/>
        <w:jc w:val="both"/>
        <w:rPr>
          <w:rFonts w:ascii="Helvetica" w:hAnsi="Helvetica" w:cs="Helvetica"/>
          <w:lang w:val="en-US"/>
        </w:rPr>
      </w:pPr>
      <w:r w:rsidRPr="004F510E">
        <w:rPr>
          <w:rFonts w:ascii="Helvetica" w:hAnsi="Helvetica" w:cs="Helvetica"/>
          <w:lang w:val="en-US"/>
        </w:rPr>
        <w:t xml:space="preserve">Tourism service providers are required to comply with the obligations established in Law No. 29408, the General Tourism Law, and its Regulations, as well as those established in Law No. 30802, the Law that establishes conditions for the admission of children and adolescents to lodging establishments </w:t>
      </w:r>
      <w:proofErr w:type="gramStart"/>
      <w:r w:rsidRPr="004F510E">
        <w:rPr>
          <w:rFonts w:ascii="Helvetica" w:hAnsi="Helvetica" w:cs="Helvetica"/>
          <w:lang w:val="en-US"/>
        </w:rPr>
        <w:t>in order to</w:t>
      </w:r>
      <w:proofErr w:type="gramEnd"/>
      <w:r w:rsidRPr="004F510E">
        <w:rPr>
          <w:rFonts w:ascii="Helvetica" w:hAnsi="Helvetica" w:cs="Helvetica"/>
          <w:lang w:val="en-US"/>
        </w:rPr>
        <w:t xml:space="preserve"> guarantee their protection and safety, paying special attention to:</w:t>
      </w:r>
    </w:p>
    <w:p w14:paraId="12061D6E" w14:textId="77777777" w:rsidR="003E460D" w:rsidRPr="004F510E" w:rsidRDefault="003E460D" w:rsidP="003E460D">
      <w:pPr>
        <w:pStyle w:val="ListParagraph"/>
        <w:ind w:left="709"/>
        <w:jc w:val="both"/>
        <w:rPr>
          <w:rFonts w:ascii="Helvetica" w:hAnsi="Helvetica" w:cs="Helvetica"/>
          <w:lang w:val="en-US"/>
        </w:rPr>
      </w:pPr>
    </w:p>
    <w:p w14:paraId="62C9EDC4" w14:textId="77777777" w:rsidR="003E460D" w:rsidRPr="004F510E" w:rsidRDefault="003E460D" w:rsidP="003E460D">
      <w:pPr>
        <w:pStyle w:val="ListParagraph"/>
        <w:numPr>
          <w:ilvl w:val="0"/>
          <w:numId w:val="4"/>
        </w:numPr>
        <w:jc w:val="both"/>
        <w:rPr>
          <w:rFonts w:ascii="Helvetica" w:hAnsi="Helvetica" w:cs="Helvetica"/>
          <w:lang w:val="en-US"/>
        </w:rPr>
      </w:pPr>
      <w:r w:rsidRPr="004F510E">
        <w:rPr>
          <w:rFonts w:ascii="Helvetica" w:hAnsi="Helvetica" w:cs="Helvetica"/>
          <w:lang w:val="en-US"/>
        </w:rPr>
        <w:t xml:space="preserve">Maintain an ethical policy of rejecting sexual exploitation of minors in the tourism sector, </w:t>
      </w:r>
      <w:proofErr w:type="gramStart"/>
      <w:r w:rsidRPr="004F510E">
        <w:rPr>
          <w:rFonts w:ascii="Helvetica" w:hAnsi="Helvetica" w:cs="Helvetica"/>
          <w:lang w:val="en-US"/>
        </w:rPr>
        <w:t>in order to</w:t>
      </w:r>
      <w:proofErr w:type="gramEnd"/>
      <w:r w:rsidRPr="004F510E">
        <w:rPr>
          <w:rFonts w:ascii="Helvetica" w:hAnsi="Helvetica" w:cs="Helvetica"/>
          <w:lang w:val="en-US"/>
        </w:rPr>
        <w:t xml:space="preserve"> protect children and adolescents from all forms of sexual exploitation by domestic or foreign tourists, other tourism service providers, and any other person.</w:t>
      </w:r>
    </w:p>
    <w:p w14:paraId="45F51B57" w14:textId="77777777" w:rsidR="003E460D" w:rsidRPr="004F510E" w:rsidRDefault="003E460D" w:rsidP="003E460D">
      <w:pPr>
        <w:pStyle w:val="ListParagraph"/>
        <w:ind w:left="1069"/>
        <w:jc w:val="both"/>
        <w:rPr>
          <w:rFonts w:ascii="Helvetica" w:hAnsi="Helvetica" w:cs="Helvetica"/>
          <w:lang w:val="en-US"/>
        </w:rPr>
      </w:pPr>
    </w:p>
    <w:p w14:paraId="00DAAB68" w14:textId="663FC2AA" w:rsidR="002718E1" w:rsidRPr="004F510E" w:rsidRDefault="003E460D" w:rsidP="003E460D">
      <w:pPr>
        <w:pStyle w:val="ListParagraph"/>
        <w:numPr>
          <w:ilvl w:val="0"/>
          <w:numId w:val="4"/>
        </w:numPr>
        <w:jc w:val="both"/>
        <w:rPr>
          <w:rFonts w:ascii="Helvetica" w:hAnsi="Helvetica" w:cs="Helvetica"/>
          <w:lang w:val="en-US"/>
        </w:rPr>
      </w:pPr>
      <w:r w:rsidRPr="004F510E">
        <w:rPr>
          <w:rFonts w:ascii="Helvetica" w:hAnsi="Helvetica" w:cs="Helvetica"/>
          <w:lang w:val="en-US"/>
        </w:rPr>
        <w:t>No tourism service provider shall promote or permit ESNNA during the provision of its services.</w:t>
      </w:r>
    </w:p>
    <w:p w14:paraId="574BF667" w14:textId="77777777" w:rsidR="003E460D" w:rsidRPr="004F510E" w:rsidRDefault="003E460D" w:rsidP="003E460D">
      <w:pPr>
        <w:pStyle w:val="ListParagraph"/>
        <w:rPr>
          <w:rFonts w:ascii="Helvetica" w:hAnsi="Helvetica" w:cs="Helvetica"/>
          <w:lang w:val="en-US"/>
        </w:rPr>
      </w:pPr>
    </w:p>
    <w:p w14:paraId="54DA5717" w14:textId="46FAC220" w:rsidR="003E460D" w:rsidRPr="004F510E" w:rsidRDefault="003E460D" w:rsidP="003E460D">
      <w:pPr>
        <w:pStyle w:val="ListParagraph"/>
        <w:numPr>
          <w:ilvl w:val="0"/>
          <w:numId w:val="4"/>
        </w:numPr>
        <w:jc w:val="both"/>
        <w:rPr>
          <w:rFonts w:ascii="Helvetica" w:hAnsi="Helvetica" w:cs="Helvetica"/>
          <w:lang w:val="en-US"/>
        </w:rPr>
      </w:pPr>
      <w:r w:rsidRPr="004F510E">
        <w:rPr>
          <w:rFonts w:ascii="Helvetica" w:hAnsi="Helvetica" w:cs="Helvetica"/>
          <w:lang w:val="en-US"/>
        </w:rPr>
        <w:t>Do not promote or allow the entry of girls, boys, or adolescents into rooms or apartments of lodging establishments without the company of one or both parents, guardian, or responsible party, duly accredited by the competent authority or with documentation demonstrating the judicial or legal relationship that exists between them or, failing that, with authority granted in writing and with a signature legalized by a Notary.</w:t>
      </w:r>
    </w:p>
    <w:p w14:paraId="32784504" w14:textId="77777777" w:rsidR="003E460D" w:rsidRPr="004F510E" w:rsidRDefault="003E460D" w:rsidP="003E460D">
      <w:pPr>
        <w:pStyle w:val="ListParagraph"/>
        <w:rPr>
          <w:rFonts w:ascii="Helvetica" w:hAnsi="Helvetica" w:cs="Helvetica"/>
          <w:lang w:val="en-US"/>
        </w:rPr>
      </w:pPr>
    </w:p>
    <w:p w14:paraId="2A163EE9" w14:textId="4DB5E23A" w:rsidR="003E460D" w:rsidRPr="004F510E" w:rsidRDefault="003E460D" w:rsidP="003E460D">
      <w:pPr>
        <w:pStyle w:val="ListParagraph"/>
        <w:numPr>
          <w:ilvl w:val="0"/>
          <w:numId w:val="4"/>
        </w:numPr>
        <w:jc w:val="both"/>
        <w:rPr>
          <w:rFonts w:ascii="Helvetica" w:hAnsi="Helvetica" w:cs="Helvetica"/>
          <w:lang w:val="en-US"/>
        </w:rPr>
      </w:pPr>
      <w:r w:rsidRPr="004F510E">
        <w:rPr>
          <w:rFonts w:ascii="Helvetica" w:hAnsi="Helvetica" w:cs="Helvetica"/>
          <w:lang w:val="en-US"/>
        </w:rPr>
        <w:t xml:space="preserve">Immediately report to the competent authority any incident related to ESNNA or any other criminal offense of which they become aware </w:t>
      </w:r>
      <w:proofErr w:type="gramStart"/>
      <w:r w:rsidRPr="004F510E">
        <w:rPr>
          <w:rFonts w:ascii="Helvetica" w:hAnsi="Helvetica" w:cs="Helvetica"/>
          <w:lang w:val="en-US"/>
        </w:rPr>
        <w:t>in the course of</w:t>
      </w:r>
      <w:proofErr w:type="gramEnd"/>
      <w:r w:rsidRPr="004F510E">
        <w:rPr>
          <w:rFonts w:ascii="Helvetica" w:hAnsi="Helvetica" w:cs="Helvetica"/>
          <w:lang w:val="en-US"/>
        </w:rPr>
        <w:t xml:space="preserve"> their activities.</w:t>
      </w:r>
    </w:p>
    <w:p w14:paraId="3E68E53A" w14:textId="77777777" w:rsidR="003E460D" w:rsidRPr="004F510E" w:rsidRDefault="003E460D" w:rsidP="003E460D">
      <w:pPr>
        <w:pStyle w:val="ListParagraph"/>
        <w:rPr>
          <w:rFonts w:ascii="Helvetica" w:hAnsi="Helvetica" w:cs="Helvetica"/>
          <w:lang w:val="en-US"/>
        </w:rPr>
      </w:pPr>
    </w:p>
    <w:p w14:paraId="58B2372F" w14:textId="43C2DE43" w:rsidR="002718E1" w:rsidRPr="004F510E" w:rsidRDefault="003E460D" w:rsidP="002718E1">
      <w:pPr>
        <w:pStyle w:val="ListParagraph"/>
        <w:numPr>
          <w:ilvl w:val="0"/>
          <w:numId w:val="4"/>
        </w:numPr>
        <w:ind w:left="709"/>
        <w:jc w:val="both"/>
        <w:rPr>
          <w:rFonts w:ascii="Helvetica" w:hAnsi="Helvetica" w:cs="Helvetica"/>
          <w:lang w:val="en-US"/>
        </w:rPr>
      </w:pPr>
      <w:r w:rsidRPr="004F510E">
        <w:rPr>
          <w:rFonts w:ascii="Helvetica" w:hAnsi="Helvetica" w:cs="Helvetica"/>
          <w:lang w:val="en-US"/>
        </w:rPr>
        <w:t>Inform and train staff about the company's policy regarding the prevention of sexual and reproductive health (SECRET) in the tourism sector.</w:t>
      </w:r>
    </w:p>
    <w:p w14:paraId="33638EE8" w14:textId="77777777" w:rsidR="003E460D" w:rsidRPr="004F510E" w:rsidRDefault="003E460D" w:rsidP="003E460D">
      <w:pPr>
        <w:pStyle w:val="ListParagraph"/>
        <w:rPr>
          <w:rFonts w:ascii="Helvetica" w:hAnsi="Helvetica" w:cs="Helvetica"/>
          <w:lang w:val="en-US"/>
        </w:rPr>
      </w:pPr>
    </w:p>
    <w:p w14:paraId="0A652D9E" w14:textId="0E06ADC0" w:rsidR="003E460D" w:rsidRPr="004F510E" w:rsidRDefault="003E460D" w:rsidP="003E460D">
      <w:pPr>
        <w:pStyle w:val="ListParagraph"/>
        <w:numPr>
          <w:ilvl w:val="0"/>
          <w:numId w:val="4"/>
        </w:numPr>
        <w:ind w:left="709"/>
        <w:jc w:val="both"/>
        <w:rPr>
          <w:rFonts w:ascii="Helvetica" w:hAnsi="Helvetica" w:cs="Helvetica"/>
          <w:lang w:val="en-US"/>
        </w:rPr>
      </w:pPr>
      <w:r w:rsidRPr="004F510E">
        <w:rPr>
          <w:rFonts w:ascii="Helvetica" w:hAnsi="Helvetica" w:cs="Helvetica"/>
          <w:lang w:val="en-US"/>
        </w:rPr>
        <w:t>Refrain from offering, in tourism promotion programs and tourism plans, either expressly or surreptitiously, situations linked to ESNNA, as well as refrain from directing tourists, directly or through third parties, to establishments or places where ESNNA is practiced.</w:t>
      </w:r>
    </w:p>
    <w:p w14:paraId="377963F5" w14:textId="77777777" w:rsidR="003E460D" w:rsidRPr="004F510E" w:rsidRDefault="003E460D" w:rsidP="003E460D">
      <w:pPr>
        <w:pStyle w:val="ListParagraph"/>
        <w:rPr>
          <w:rFonts w:ascii="Helvetica" w:hAnsi="Helvetica" w:cs="Helvetica"/>
          <w:lang w:val="en-US"/>
        </w:rPr>
      </w:pPr>
    </w:p>
    <w:p w14:paraId="244CF5AB" w14:textId="7FADCA36" w:rsidR="003E460D" w:rsidRPr="004F510E" w:rsidRDefault="003E460D" w:rsidP="003E460D">
      <w:pPr>
        <w:pStyle w:val="ListParagraph"/>
        <w:numPr>
          <w:ilvl w:val="0"/>
          <w:numId w:val="4"/>
        </w:numPr>
        <w:ind w:left="709"/>
        <w:jc w:val="both"/>
        <w:rPr>
          <w:rFonts w:ascii="Helvetica" w:hAnsi="Helvetica" w:cs="Helvetica"/>
          <w:lang w:val="en-US"/>
        </w:rPr>
      </w:pPr>
      <w:r w:rsidRPr="004F510E">
        <w:rPr>
          <w:rFonts w:ascii="Helvetica" w:hAnsi="Helvetica" w:cs="Helvetica"/>
          <w:lang w:val="en-US"/>
        </w:rPr>
        <w:t>Place the ESNNA prevention information material, designed by MINCETUR, in a visible place in your establishment</w:t>
      </w:r>
      <w:r w:rsidR="00B30D80" w:rsidRPr="004F510E">
        <w:rPr>
          <w:rFonts w:ascii="Helvetica" w:hAnsi="Helvetica" w:cs="Helvetica"/>
          <w:lang w:val="en-US"/>
        </w:rPr>
        <w:t>.</w:t>
      </w:r>
    </w:p>
    <w:p w14:paraId="74587542" w14:textId="77777777" w:rsidR="00B30D80" w:rsidRPr="004F510E" w:rsidRDefault="00B30D80" w:rsidP="00B30D80">
      <w:pPr>
        <w:pStyle w:val="ListParagraph"/>
        <w:rPr>
          <w:rFonts w:ascii="Helvetica" w:hAnsi="Helvetica" w:cs="Helvetica"/>
          <w:lang w:val="en-US"/>
        </w:rPr>
      </w:pPr>
    </w:p>
    <w:p w14:paraId="0F240820" w14:textId="660F0065" w:rsidR="00B30D80" w:rsidRPr="004F510E" w:rsidRDefault="00B30D80" w:rsidP="003E460D">
      <w:pPr>
        <w:pStyle w:val="ListParagraph"/>
        <w:numPr>
          <w:ilvl w:val="0"/>
          <w:numId w:val="4"/>
        </w:numPr>
        <w:ind w:left="709"/>
        <w:jc w:val="both"/>
        <w:rPr>
          <w:rFonts w:ascii="Helvetica" w:hAnsi="Helvetica" w:cs="Helvetica"/>
          <w:lang w:val="en-US"/>
        </w:rPr>
      </w:pPr>
      <w:r w:rsidRPr="004F510E">
        <w:rPr>
          <w:rFonts w:ascii="Helvetica" w:hAnsi="Helvetica" w:cs="Helvetica"/>
          <w:lang w:val="en-US"/>
        </w:rPr>
        <w:t>Submit an annual report reporting actions taken within the framework of ESNNA prevention, if applicable.</w:t>
      </w:r>
    </w:p>
    <w:p w14:paraId="56647B00" w14:textId="77777777" w:rsidR="003E460D" w:rsidRDefault="003E460D" w:rsidP="003E460D">
      <w:pPr>
        <w:pStyle w:val="ListParagraph"/>
        <w:ind w:left="709"/>
        <w:jc w:val="both"/>
        <w:rPr>
          <w:rFonts w:ascii="Helvetica" w:hAnsi="Helvetica" w:cs="Helvetica"/>
          <w:b/>
          <w:bCs/>
          <w:lang w:val="en-US"/>
        </w:rPr>
      </w:pPr>
    </w:p>
    <w:p w14:paraId="563CE5F7" w14:textId="77777777" w:rsidR="004F510E" w:rsidRPr="004F510E" w:rsidRDefault="004F510E" w:rsidP="003E460D">
      <w:pPr>
        <w:pStyle w:val="ListParagraph"/>
        <w:ind w:left="709"/>
        <w:jc w:val="both"/>
        <w:rPr>
          <w:rFonts w:ascii="Helvetica" w:hAnsi="Helvetica" w:cs="Helvetica"/>
          <w:b/>
          <w:bCs/>
          <w:lang w:val="en-US"/>
        </w:rPr>
      </w:pPr>
    </w:p>
    <w:p w14:paraId="5B6CD175" w14:textId="4BB61D95" w:rsidR="002718E1" w:rsidRPr="004F510E" w:rsidRDefault="004F510E" w:rsidP="002718E1">
      <w:pPr>
        <w:pStyle w:val="ListParagraph"/>
        <w:numPr>
          <w:ilvl w:val="0"/>
          <w:numId w:val="2"/>
        </w:numPr>
        <w:ind w:left="709"/>
        <w:jc w:val="both"/>
        <w:rPr>
          <w:rFonts w:ascii="Helvetica" w:hAnsi="Helvetica" w:cs="Helvetica"/>
          <w:b/>
          <w:bCs/>
          <w:lang w:val="en-US"/>
        </w:rPr>
      </w:pPr>
      <w:r>
        <w:rPr>
          <w:rFonts w:ascii="Helvetica" w:hAnsi="Helvetica" w:cs="Helvetica"/>
          <w:b/>
          <w:bCs/>
          <w:lang w:val="en-US"/>
        </w:rPr>
        <w:lastRenderedPageBreak/>
        <w:t>DIFFUSION</w:t>
      </w:r>
      <w:r w:rsidR="002718E1" w:rsidRPr="004F510E">
        <w:rPr>
          <w:rFonts w:ascii="Helvetica" w:hAnsi="Helvetica" w:cs="Helvetica"/>
          <w:b/>
          <w:bCs/>
          <w:lang w:val="en-US"/>
        </w:rPr>
        <w:t>, SUBSCRIPTION AND MONITORING</w:t>
      </w:r>
    </w:p>
    <w:p w14:paraId="6FAA901E" w14:textId="77777777" w:rsidR="002718E1" w:rsidRPr="004F510E" w:rsidRDefault="002718E1" w:rsidP="002718E1">
      <w:pPr>
        <w:pStyle w:val="ListParagraph"/>
        <w:ind w:left="709"/>
        <w:jc w:val="both"/>
        <w:rPr>
          <w:rFonts w:ascii="Helvetica" w:hAnsi="Helvetica" w:cs="Helvetica"/>
          <w:lang w:val="en-US"/>
        </w:rPr>
      </w:pPr>
    </w:p>
    <w:p w14:paraId="0FBDCA02" w14:textId="4637C56A" w:rsidR="002718E1" w:rsidRPr="004F510E" w:rsidRDefault="002718E1" w:rsidP="002718E1">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t>Diffusion</w:t>
      </w:r>
    </w:p>
    <w:p w14:paraId="2FEE6178" w14:textId="77777777" w:rsidR="002718E1" w:rsidRPr="004F510E" w:rsidRDefault="002718E1" w:rsidP="002718E1">
      <w:pPr>
        <w:pStyle w:val="ListParagraph"/>
        <w:ind w:left="1429"/>
        <w:jc w:val="both"/>
        <w:rPr>
          <w:rFonts w:ascii="Helvetica" w:hAnsi="Helvetica" w:cs="Helvetica"/>
          <w:lang w:val="en-US"/>
        </w:rPr>
      </w:pPr>
    </w:p>
    <w:p w14:paraId="03AB2C8F" w14:textId="611FB837" w:rsidR="002718E1" w:rsidRPr="004F510E" w:rsidRDefault="002718E1" w:rsidP="002718E1">
      <w:pPr>
        <w:pStyle w:val="ListParagraph"/>
        <w:ind w:left="1429"/>
        <w:jc w:val="both"/>
        <w:rPr>
          <w:rFonts w:ascii="Helvetica" w:hAnsi="Helvetica" w:cs="Helvetica"/>
          <w:lang w:val="en-US"/>
        </w:rPr>
      </w:pPr>
      <w:r w:rsidRPr="004F510E">
        <w:rPr>
          <w:rFonts w:ascii="Helvetica" w:hAnsi="Helvetica" w:cs="Helvetica"/>
          <w:lang w:val="en-US"/>
        </w:rPr>
        <w:t xml:space="preserve">Tourism service providers must disseminate the laws, regulations, internal provisions, manuals, and other information they consider relevant regarding the prevention of sexual and reproductive health among their employees, in accordance with Article 43 of the Regulations of the General Tourism Law approved by Supreme Decree No. 003-2010-MINCETUR. They must also inform their staff, suppliers, or contractors of their obligation to comply with the policies contained in this document, </w:t>
      </w:r>
      <w:proofErr w:type="gramStart"/>
      <w:r w:rsidRPr="004F510E">
        <w:rPr>
          <w:rFonts w:ascii="Helvetica" w:hAnsi="Helvetica" w:cs="Helvetica"/>
          <w:lang w:val="en-US"/>
        </w:rPr>
        <w:t>in order to</w:t>
      </w:r>
      <w:proofErr w:type="gramEnd"/>
      <w:r w:rsidRPr="004F510E">
        <w:rPr>
          <w:rFonts w:ascii="Helvetica" w:hAnsi="Helvetica" w:cs="Helvetica"/>
          <w:lang w:val="en-US"/>
        </w:rPr>
        <w:t xml:space="preserve"> prevent sexual and reproductive health in the tourism sector.</w:t>
      </w:r>
    </w:p>
    <w:p w14:paraId="1A5686C6" w14:textId="77777777" w:rsidR="002718E1" w:rsidRPr="004F510E" w:rsidRDefault="002718E1" w:rsidP="002718E1">
      <w:pPr>
        <w:pStyle w:val="ListParagraph"/>
        <w:ind w:left="1429"/>
        <w:jc w:val="both"/>
        <w:rPr>
          <w:rFonts w:ascii="Helvetica" w:hAnsi="Helvetica" w:cs="Helvetica"/>
          <w:lang w:val="en-US"/>
        </w:rPr>
      </w:pPr>
    </w:p>
    <w:p w14:paraId="7F293DF8" w14:textId="07626FB9" w:rsidR="002718E1" w:rsidRPr="004F510E" w:rsidRDefault="002718E1" w:rsidP="002718E1">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t>Subscription</w:t>
      </w:r>
    </w:p>
    <w:p w14:paraId="666262CB" w14:textId="77777777" w:rsidR="002718E1" w:rsidRPr="004F510E" w:rsidRDefault="002718E1" w:rsidP="002718E1">
      <w:pPr>
        <w:pStyle w:val="ListParagraph"/>
        <w:ind w:left="1429"/>
        <w:jc w:val="both"/>
        <w:rPr>
          <w:rFonts w:ascii="Helvetica" w:hAnsi="Helvetica" w:cs="Helvetica"/>
          <w:lang w:val="en-US"/>
        </w:rPr>
      </w:pPr>
    </w:p>
    <w:p w14:paraId="0C80EED6" w14:textId="1DE9542A" w:rsidR="002718E1" w:rsidRPr="004F510E" w:rsidRDefault="002718E1" w:rsidP="002718E1">
      <w:pPr>
        <w:pStyle w:val="ListParagraph"/>
        <w:ind w:left="1429"/>
        <w:jc w:val="both"/>
        <w:rPr>
          <w:rFonts w:ascii="Helvetica" w:hAnsi="Helvetica" w:cs="Helvetica"/>
          <w:lang w:val="en-US"/>
        </w:rPr>
      </w:pPr>
      <w:r w:rsidRPr="004F510E">
        <w:rPr>
          <w:rFonts w:ascii="Helvetica" w:hAnsi="Helvetica" w:cs="Helvetica"/>
          <w:lang w:val="en-US"/>
        </w:rPr>
        <w:t>Regional Governments, through the corresponding DIRCETUR or GERCETUR, will manage the subscription to the Code of Conduct by all tourism service providers, which will be accredited by the signing of the Mandatory Subscription Affidavit, approved by MINCETUR.</w:t>
      </w:r>
    </w:p>
    <w:p w14:paraId="334B1C39" w14:textId="77777777" w:rsidR="002718E1" w:rsidRPr="004F510E" w:rsidRDefault="002718E1" w:rsidP="002718E1">
      <w:pPr>
        <w:pStyle w:val="ListParagraph"/>
        <w:ind w:left="1429"/>
        <w:jc w:val="both"/>
        <w:rPr>
          <w:rFonts w:ascii="Helvetica" w:hAnsi="Helvetica" w:cs="Helvetica"/>
          <w:lang w:val="en-US"/>
        </w:rPr>
      </w:pPr>
    </w:p>
    <w:p w14:paraId="436ABF1D" w14:textId="4FA9C4B0" w:rsidR="002718E1" w:rsidRPr="004F510E" w:rsidRDefault="002718E1" w:rsidP="002718E1">
      <w:pPr>
        <w:pStyle w:val="ListParagraph"/>
        <w:numPr>
          <w:ilvl w:val="1"/>
          <w:numId w:val="2"/>
        </w:numPr>
        <w:jc w:val="both"/>
        <w:rPr>
          <w:rFonts w:ascii="Helvetica" w:hAnsi="Helvetica" w:cs="Helvetica"/>
          <w:b/>
          <w:bCs/>
          <w:lang w:val="en-US"/>
        </w:rPr>
      </w:pPr>
      <w:r w:rsidRPr="004F510E">
        <w:rPr>
          <w:rFonts w:ascii="Helvetica" w:hAnsi="Helvetica" w:cs="Helvetica"/>
          <w:b/>
          <w:bCs/>
          <w:lang w:val="en-US"/>
        </w:rPr>
        <w:t>Monitoring</w:t>
      </w:r>
    </w:p>
    <w:p w14:paraId="1062CEFE" w14:textId="3CB782ED" w:rsidR="002718E1" w:rsidRPr="004F510E" w:rsidRDefault="002718E1" w:rsidP="00824BCE">
      <w:pPr>
        <w:ind w:left="1416"/>
        <w:jc w:val="both"/>
        <w:rPr>
          <w:rFonts w:ascii="Helvetica" w:hAnsi="Helvetica" w:cs="Helvetica"/>
          <w:lang w:val="en-US"/>
        </w:rPr>
      </w:pPr>
      <w:r w:rsidRPr="004F510E">
        <w:rPr>
          <w:rFonts w:ascii="Helvetica" w:hAnsi="Helvetica" w:cs="Helvetica"/>
          <w:lang w:val="en-US"/>
        </w:rPr>
        <w:t>Monitoring compliance with the obligations of this Code will be the responsibility of GERCETUR or DIRCETUR at the regional level; and, in Metropolitan Lima, the General Directorate of Tourism Development Policies of MINCETUR.</w:t>
      </w:r>
    </w:p>
    <w:p w14:paraId="0A101F23" w14:textId="27F8BC4D" w:rsidR="002718E1" w:rsidRPr="004F510E" w:rsidRDefault="002718E1" w:rsidP="002718E1">
      <w:pPr>
        <w:pStyle w:val="ListParagraph"/>
        <w:numPr>
          <w:ilvl w:val="0"/>
          <w:numId w:val="2"/>
        </w:numPr>
        <w:ind w:left="709"/>
        <w:jc w:val="both"/>
        <w:rPr>
          <w:rFonts w:ascii="Helvetica" w:hAnsi="Helvetica" w:cs="Helvetica"/>
          <w:b/>
          <w:bCs/>
          <w:lang w:val="en-US"/>
        </w:rPr>
      </w:pPr>
      <w:r w:rsidRPr="004F510E">
        <w:rPr>
          <w:rFonts w:ascii="Helvetica" w:hAnsi="Helvetica" w:cs="Helvetica"/>
          <w:b/>
          <w:bCs/>
          <w:lang w:val="en-US"/>
        </w:rPr>
        <w:t>BREACH</w:t>
      </w:r>
    </w:p>
    <w:p w14:paraId="576D774A" w14:textId="2839A747" w:rsidR="002718E1" w:rsidRPr="004F510E" w:rsidRDefault="002718E1" w:rsidP="002718E1">
      <w:pPr>
        <w:ind w:left="708"/>
        <w:jc w:val="both"/>
        <w:rPr>
          <w:rFonts w:ascii="Helvetica" w:hAnsi="Helvetica" w:cs="Helvetica"/>
          <w:lang w:val="en-US"/>
        </w:rPr>
      </w:pPr>
      <w:r w:rsidRPr="004F510E">
        <w:rPr>
          <w:rFonts w:ascii="Helvetica" w:hAnsi="Helvetica" w:cs="Helvetica"/>
          <w:lang w:val="en-US"/>
        </w:rPr>
        <w:t>Failure to comply with the provisions of this Code will be sanctioned administratively, as appropriate, in accordance with current legal regulations.</w:t>
      </w:r>
    </w:p>
    <w:p w14:paraId="2A4F889E" w14:textId="21C64F3E" w:rsidR="002718E1" w:rsidRPr="004F510E" w:rsidRDefault="002718E1" w:rsidP="002718E1">
      <w:pPr>
        <w:ind w:left="708"/>
        <w:jc w:val="both"/>
        <w:rPr>
          <w:rFonts w:ascii="Helvetica" w:hAnsi="Helvetica" w:cs="Helvetica"/>
          <w:lang w:val="en-US"/>
        </w:rPr>
      </w:pPr>
      <w:r w:rsidRPr="004F510E">
        <w:rPr>
          <w:rFonts w:ascii="Helvetica" w:hAnsi="Helvetica" w:cs="Helvetica"/>
          <w:lang w:val="en-US"/>
        </w:rPr>
        <w:t>Any administrative sanctions that may be applied do not exempt the tourism service provider from any criminal liability that may arise, in accordance with the provisions of the Peruvian Penal Code.</w:t>
      </w:r>
    </w:p>
    <w:sectPr w:rsidR="002718E1" w:rsidRPr="004F510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FA59" w14:textId="77777777" w:rsidR="00EF23D5" w:rsidRDefault="00EF23D5" w:rsidP="003E460D">
      <w:pPr>
        <w:spacing w:after="0" w:line="240" w:lineRule="auto"/>
      </w:pPr>
      <w:r>
        <w:separator/>
      </w:r>
    </w:p>
  </w:endnote>
  <w:endnote w:type="continuationSeparator" w:id="0">
    <w:p w14:paraId="640F7CBE" w14:textId="77777777" w:rsidR="00EF23D5" w:rsidRDefault="00EF23D5" w:rsidP="003E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16"/>
        <w:szCs w:val="16"/>
      </w:rPr>
      <w:id w:val="-1443751775"/>
      <w:docPartObj>
        <w:docPartGallery w:val="Page Numbers (Bottom of Page)"/>
        <w:docPartUnique/>
      </w:docPartObj>
    </w:sdtPr>
    <w:sdtEndPr>
      <w:rPr>
        <w:noProof/>
      </w:rPr>
    </w:sdtEndPr>
    <w:sdtContent>
      <w:p w14:paraId="70E9633A" w14:textId="01D49F8E" w:rsidR="003E460D" w:rsidRPr="003E460D" w:rsidRDefault="003E460D">
        <w:pPr>
          <w:pStyle w:val="Footer"/>
          <w:jc w:val="right"/>
          <w:rPr>
            <w:rFonts w:ascii="Helvetica" w:hAnsi="Helvetica" w:cs="Helvetica"/>
            <w:sz w:val="16"/>
            <w:szCs w:val="16"/>
          </w:rPr>
        </w:pPr>
        <w:r w:rsidRPr="003E460D">
          <w:rPr>
            <w:rFonts w:ascii="Helvetica" w:hAnsi="Helvetica" w:cs="Helvetica"/>
            <w:sz w:val="16"/>
            <w:szCs w:val="16"/>
          </w:rPr>
          <w:fldChar w:fldCharType="begin"/>
        </w:r>
        <w:r w:rsidRPr="003E460D">
          <w:rPr>
            <w:rFonts w:ascii="Helvetica" w:hAnsi="Helvetica" w:cs="Helvetica"/>
            <w:sz w:val="16"/>
            <w:szCs w:val="16"/>
          </w:rPr>
          <w:instrText xml:space="preserve"> PAGE   \* MERGEFORMAT </w:instrText>
        </w:r>
        <w:r w:rsidRPr="003E460D">
          <w:rPr>
            <w:rFonts w:ascii="Helvetica" w:hAnsi="Helvetica" w:cs="Helvetica"/>
            <w:sz w:val="16"/>
            <w:szCs w:val="16"/>
          </w:rPr>
          <w:fldChar w:fldCharType="separate"/>
        </w:r>
        <w:r w:rsidRPr="003E460D">
          <w:rPr>
            <w:rFonts w:ascii="Helvetica" w:hAnsi="Helvetica" w:cs="Helvetica"/>
            <w:noProof/>
            <w:sz w:val="16"/>
            <w:szCs w:val="16"/>
          </w:rPr>
          <w:t>2</w:t>
        </w:r>
        <w:r w:rsidRPr="003E460D">
          <w:rPr>
            <w:rFonts w:ascii="Helvetica" w:hAnsi="Helvetica" w:cs="Helvetica"/>
            <w:noProof/>
            <w:sz w:val="16"/>
            <w:szCs w:val="16"/>
          </w:rPr>
          <w:fldChar w:fldCharType="end"/>
        </w:r>
      </w:p>
    </w:sdtContent>
  </w:sdt>
  <w:p w14:paraId="06133D55" w14:textId="77777777" w:rsidR="003E460D" w:rsidRDefault="003E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D1D8" w14:textId="77777777" w:rsidR="00EF23D5" w:rsidRDefault="00EF23D5" w:rsidP="003E460D">
      <w:pPr>
        <w:spacing w:after="0" w:line="240" w:lineRule="auto"/>
      </w:pPr>
      <w:r>
        <w:separator/>
      </w:r>
    </w:p>
  </w:footnote>
  <w:footnote w:type="continuationSeparator" w:id="0">
    <w:p w14:paraId="633ABD2D" w14:textId="77777777" w:rsidR="00EF23D5" w:rsidRDefault="00EF23D5" w:rsidP="003E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D4C"/>
    <w:multiLevelType w:val="hybridMultilevel"/>
    <w:tmpl w:val="F6A24EDA"/>
    <w:lvl w:ilvl="0" w:tplc="D8F82E06">
      <w:start w:val="1"/>
      <w:numFmt w:val="upp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 w15:restartNumberingAfterBreak="0">
    <w:nsid w:val="2163017E"/>
    <w:multiLevelType w:val="hybridMultilevel"/>
    <w:tmpl w:val="E06E6934"/>
    <w:lvl w:ilvl="0" w:tplc="17ECF962">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 w15:restartNumberingAfterBreak="0">
    <w:nsid w:val="57C207E9"/>
    <w:multiLevelType w:val="multilevel"/>
    <w:tmpl w:val="60A40A5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6ED66079"/>
    <w:multiLevelType w:val="hybridMultilevel"/>
    <w:tmpl w:val="C7A4586A"/>
    <w:lvl w:ilvl="0" w:tplc="183611C4">
      <w:start w:val="8"/>
      <w:numFmt w:val="bullet"/>
      <w:lvlText w:val="-"/>
      <w:lvlJc w:val="left"/>
      <w:pPr>
        <w:ind w:left="720" w:hanging="360"/>
      </w:pPr>
      <w:rPr>
        <w:rFonts w:ascii="Helvetica" w:eastAsiaTheme="minorHAnsi" w:hAnsi="Helvetica" w:cs="Helvetic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0184862">
    <w:abstractNumId w:val="3"/>
  </w:num>
  <w:num w:numId="2" w16cid:durableId="959997766">
    <w:abstractNumId w:val="2"/>
  </w:num>
  <w:num w:numId="3" w16cid:durableId="400064239">
    <w:abstractNumId w:val="0"/>
  </w:num>
  <w:num w:numId="4" w16cid:durableId="197764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1D"/>
    <w:rsid w:val="0007751D"/>
    <w:rsid w:val="002718E1"/>
    <w:rsid w:val="002774C9"/>
    <w:rsid w:val="003437FD"/>
    <w:rsid w:val="003E460D"/>
    <w:rsid w:val="004F510E"/>
    <w:rsid w:val="00824BCE"/>
    <w:rsid w:val="00B30D80"/>
    <w:rsid w:val="00EF23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66C"/>
  <w15:chartTrackingRefBased/>
  <w15:docId w15:val="{982465DB-D097-42BB-A3C4-A3154BA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1D"/>
    <w:pPr>
      <w:ind w:left="720"/>
      <w:contextualSpacing/>
    </w:pPr>
  </w:style>
  <w:style w:type="paragraph" w:styleId="Header">
    <w:name w:val="header"/>
    <w:basedOn w:val="Normal"/>
    <w:link w:val="HeaderChar"/>
    <w:uiPriority w:val="99"/>
    <w:unhideWhenUsed/>
    <w:rsid w:val="003E460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E460D"/>
  </w:style>
  <w:style w:type="paragraph" w:styleId="Footer">
    <w:name w:val="footer"/>
    <w:basedOn w:val="Normal"/>
    <w:link w:val="FooterChar"/>
    <w:uiPriority w:val="99"/>
    <w:unhideWhenUsed/>
    <w:rsid w:val="003E460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E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1414</Words>
  <Characters>7654</Characters>
  <Application>Microsoft Office Word</Application>
  <DocSecurity>0</DocSecurity>
  <Lines>178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Galup</dc:creator>
  <cp:keywords/>
  <dc:description/>
  <cp:lastModifiedBy>Juan Galup</cp:lastModifiedBy>
  <cp:revision>3</cp:revision>
  <dcterms:created xsi:type="dcterms:W3CDTF">2025-06-23T01:07:00Z</dcterms:created>
  <dcterms:modified xsi:type="dcterms:W3CDTF">2025-06-23T02:03:00Z</dcterms:modified>
</cp:coreProperties>
</file>